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49B52" w14:textId="65BC13F9" w:rsidR="001975C0" w:rsidRPr="00CD48FA" w:rsidRDefault="00F243D9" w:rsidP="00230BCD">
      <w:pPr>
        <w:pStyle w:val="Title"/>
        <w:rPr>
          <w:lang w:val="en-GB"/>
        </w:rPr>
      </w:pPr>
      <w:r w:rsidRPr="3CD43A38">
        <w:rPr>
          <w:lang w:val="en-GB"/>
        </w:rPr>
        <w:t>Key Event</w:t>
      </w:r>
      <w:r w:rsidR="00F35E95" w:rsidRPr="3CD43A38">
        <w:rPr>
          <w:lang w:val="en-GB"/>
        </w:rPr>
        <w:t>-</w:t>
      </w:r>
      <w:r w:rsidRPr="3CD43A38">
        <w:rPr>
          <w:lang w:val="en-GB"/>
        </w:rPr>
        <w:t>Informed</w:t>
      </w:r>
      <w:r w:rsidR="00F35E95" w:rsidRPr="3CD43A38">
        <w:rPr>
          <w:lang w:val="en-GB"/>
        </w:rPr>
        <w:t xml:space="preserve"> </w:t>
      </w:r>
      <w:r w:rsidR="00230BCD" w:rsidRPr="3CD43A38">
        <w:rPr>
          <w:lang w:val="en-GB"/>
        </w:rPr>
        <w:t xml:space="preserve">Risk Models for Benzene-induced </w:t>
      </w:r>
      <w:r w:rsidR="00936C41" w:rsidRPr="3CD43A38">
        <w:rPr>
          <w:lang w:val="en-GB"/>
        </w:rPr>
        <w:t xml:space="preserve">Acute Myeloid </w:t>
      </w:r>
      <w:r w:rsidR="031A94C4" w:rsidRPr="3CD43A38">
        <w:rPr>
          <w:lang w:val="en-GB"/>
        </w:rPr>
        <w:t>Leukaem</w:t>
      </w:r>
      <w:r w:rsidR="00230BCD" w:rsidRPr="3CD43A38">
        <w:rPr>
          <w:lang w:val="en-GB"/>
        </w:rPr>
        <w:t>ia</w:t>
      </w:r>
    </w:p>
    <w:p w14:paraId="7B77552E" w14:textId="77777777" w:rsidR="00230BCD" w:rsidRPr="00CD48FA" w:rsidRDefault="00230BCD" w:rsidP="00230BCD">
      <w:pPr>
        <w:rPr>
          <w:lang w:val="en-GB"/>
        </w:rPr>
      </w:pPr>
    </w:p>
    <w:p w14:paraId="2C0BAEFD" w14:textId="7D67A8F9" w:rsidR="00230BCD" w:rsidRPr="00CD48FA" w:rsidRDefault="00230BCD" w:rsidP="00230BCD">
      <w:pPr>
        <w:rPr>
          <w:vertAlign w:val="superscript"/>
          <w:lang w:val="en-GB"/>
        </w:rPr>
      </w:pPr>
      <w:r w:rsidRPr="3DCA4FA2">
        <w:rPr>
          <w:lang w:val="en-GB"/>
        </w:rPr>
        <w:t>Colin M. North</w:t>
      </w:r>
      <w:r w:rsidRPr="3DCA4FA2">
        <w:rPr>
          <w:vertAlign w:val="superscript"/>
          <w:lang w:val="en-GB"/>
        </w:rPr>
        <w:t>1</w:t>
      </w:r>
      <w:r w:rsidRPr="3DCA4FA2">
        <w:rPr>
          <w:lang w:val="en-GB"/>
        </w:rPr>
        <w:t>, A. Rob</w:t>
      </w:r>
      <w:r w:rsidR="71C64449" w:rsidRPr="3DCA4FA2">
        <w:rPr>
          <w:lang w:val="en-GB"/>
        </w:rPr>
        <w:t>ert</w:t>
      </w:r>
      <w:r w:rsidRPr="3DCA4FA2">
        <w:rPr>
          <w:lang w:val="en-GB"/>
        </w:rPr>
        <w:t xml:space="preserve"> Schnatter</w:t>
      </w:r>
      <w:r w:rsidRPr="3DCA4FA2">
        <w:rPr>
          <w:vertAlign w:val="superscript"/>
          <w:lang w:val="en-GB"/>
        </w:rPr>
        <w:t>2</w:t>
      </w:r>
      <w:r w:rsidRPr="3DCA4FA2">
        <w:rPr>
          <w:lang w:val="en-GB"/>
        </w:rPr>
        <w:t xml:space="preserve">, </w:t>
      </w:r>
      <w:r w:rsidR="0051476E" w:rsidRPr="3DCA4FA2">
        <w:rPr>
          <w:lang w:val="en-GB"/>
        </w:rPr>
        <w:t>Martijn Rooseboom</w:t>
      </w:r>
      <w:r w:rsidR="0051476E" w:rsidRPr="3DCA4FA2">
        <w:rPr>
          <w:vertAlign w:val="superscript"/>
          <w:lang w:val="en-GB"/>
        </w:rPr>
        <w:t>3</w:t>
      </w:r>
      <w:r w:rsidR="0051476E" w:rsidRPr="3DCA4FA2">
        <w:rPr>
          <w:lang w:val="en-GB"/>
        </w:rPr>
        <w:t xml:space="preserve">, </w:t>
      </w:r>
      <w:r w:rsidR="00E11D54">
        <w:rPr>
          <w:lang w:val="en-GB"/>
        </w:rPr>
        <w:t>Neslihan Aygun Kocabas</w:t>
      </w:r>
      <w:r w:rsidR="00E11D54" w:rsidRPr="003E1538">
        <w:rPr>
          <w:vertAlign w:val="superscript"/>
          <w:lang w:val="en-GB"/>
        </w:rPr>
        <w:t>4</w:t>
      </w:r>
      <w:r w:rsidR="00211A21">
        <w:rPr>
          <w:lang w:val="en-GB"/>
        </w:rPr>
        <w:t>,</w:t>
      </w:r>
      <w:r w:rsidR="00211A21" w:rsidRPr="3DCA4FA2">
        <w:rPr>
          <w:lang w:val="en-GB"/>
        </w:rPr>
        <w:t xml:space="preserve"> Abigail</w:t>
      </w:r>
      <w:r w:rsidRPr="3DCA4FA2">
        <w:rPr>
          <w:lang w:val="en-GB"/>
        </w:rPr>
        <w:t xml:space="preserve"> </w:t>
      </w:r>
      <w:r w:rsidR="00E11D54" w:rsidRPr="3DCA4FA2">
        <w:rPr>
          <w:lang w:val="en-GB"/>
        </w:rPr>
        <w:t>Dalzell</w:t>
      </w:r>
      <w:r w:rsidR="00E11D54">
        <w:rPr>
          <w:vertAlign w:val="superscript"/>
          <w:lang w:val="en-GB"/>
        </w:rPr>
        <w:t>5</w:t>
      </w:r>
      <w:r w:rsidR="0051476E">
        <w:t xml:space="preserve">, and </w:t>
      </w:r>
      <w:r w:rsidR="002E713C">
        <w:rPr>
          <w:lang w:val="en-GB"/>
        </w:rPr>
        <w:t>Stephen D.</w:t>
      </w:r>
      <w:r w:rsidR="002E713C" w:rsidRPr="3DCA4FA2">
        <w:rPr>
          <w:lang w:val="en-GB"/>
        </w:rPr>
        <w:t xml:space="preserve"> </w:t>
      </w:r>
      <w:r w:rsidR="00E11D54" w:rsidRPr="3DCA4FA2">
        <w:rPr>
          <w:lang w:val="en-GB"/>
        </w:rPr>
        <w:t>Williams</w:t>
      </w:r>
      <w:r w:rsidR="00E11D54">
        <w:rPr>
          <w:vertAlign w:val="superscript"/>
          <w:lang w:val="en-GB"/>
        </w:rPr>
        <w:t>5</w:t>
      </w:r>
    </w:p>
    <w:p w14:paraId="5744DB54" w14:textId="329DBF15" w:rsidR="00230BCD" w:rsidRPr="00CD48FA" w:rsidRDefault="00230BCD" w:rsidP="00230BCD">
      <w:pPr>
        <w:rPr>
          <w:lang w:val="en-GB"/>
        </w:rPr>
      </w:pPr>
      <w:r w:rsidRPr="00CD48FA">
        <w:rPr>
          <w:vertAlign w:val="superscript"/>
          <w:lang w:val="en-GB"/>
        </w:rPr>
        <w:t xml:space="preserve">1 </w:t>
      </w:r>
      <w:r w:rsidR="0004631E" w:rsidRPr="0004631E">
        <w:rPr>
          <w:lang w:val="en-GB"/>
        </w:rPr>
        <w:t xml:space="preserve">ExxonMobil Biomedical Sciences, </w:t>
      </w:r>
      <w:r w:rsidR="00211A21" w:rsidRPr="0004631E">
        <w:rPr>
          <w:lang w:val="en-GB"/>
        </w:rPr>
        <w:t>Inc.</w:t>
      </w:r>
      <w:r w:rsidR="0004631E" w:rsidRPr="0004631E">
        <w:rPr>
          <w:lang w:val="en-GB"/>
        </w:rPr>
        <w:t>, Annandale, New Jersey, USA</w:t>
      </w:r>
    </w:p>
    <w:p w14:paraId="079F00EF" w14:textId="004B4ED2" w:rsidR="00230BCD" w:rsidRPr="00CD48FA" w:rsidRDefault="00230BCD" w:rsidP="00230BCD">
      <w:pPr>
        <w:rPr>
          <w:lang w:val="en-GB"/>
        </w:rPr>
      </w:pPr>
      <w:r w:rsidRPr="00CD48FA">
        <w:rPr>
          <w:vertAlign w:val="superscript"/>
          <w:lang w:val="en-GB"/>
        </w:rPr>
        <w:t>2</w:t>
      </w:r>
      <w:r w:rsidRPr="00CD48FA">
        <w:rPr>
          <w:lang w:val="en-GB"/>
        </w:rPr>
        <w:t xml:space="preserve"> </w:t>
      </w:r>
      <w:r w:rsidR="0004631E" w:rsidRPr="0004631E">
        <w:rPr>
          <w:lang w:val="en-GB"/>
        </w:rPr>
        <w:t>EpiSolutions LLC, Melbourne, FL, USA</w:t>
      </w:r>
    </w:p>
    <w:p w14:paraId="3049F88B" w14:textId="03321AEB" w:rsidR="0051476E" w:rsidRDefault="0051476E" w:rsidP="0051476E">
      <w:pPr>
        <w:rPr>
          <w:lang w:val="en-GB"/>
        </w:rPr>
      </w:pPr>
      <w:r>
        <w:rPr>
          <w:vertAlign w:val="superscript"/>
          <w:lang w:val="en-GB"/>
        </w:rPr>
        <w:t>3</w:t>
      </w:r>
      <w:r w:rsidRPr="00CD48FA">
        <w:rPr>
          <w:lang w:val="en-GB"/>
        </w:rPr>
        <w:t xml:space="preserve"> </w:t>
      </w:r>
      <w:r w:rsidR="0004631E" w:rsidRPr="0004631E">
        <w:rPr>
          <w:lang w:val="en-GB"/>
        </w:rPr>
        <w:t>Shell International B.V.  The Hague, The Netherlands</w:t>
      </w:r>
    </w:p>
    <w:p w14:paraId="0472228E" w14:textId="6C964EC8" w:rsidR="00E11D54" w:rsidRPr="00CD48FA" w:rsidRDefault="00E11D54" w:rsidP="0051476E">
      <w:pPr>
        <w:rPr>
          <w:lang w:val="en-GB"/>
        </w:rPr>
      </w:pPr>
      <w:r>
        <w:rPr>
          <w:vertAlign w:val="superscript"/>
          <w:lang w:val="en-GB"/>
        </w:rPr>
        <w:t>4</w:t>
      </w:r>
      <w:r>
        <w:rPr>
          <w:lang w:val="en-GB"/>
        </w:rPr>
        <w:t xml:space="preserve"> </w:t>
      </w:r>
      <w:r w:rsidRPr="00E11D54">
        <w:rPr>
          <w:lang w:val="en-GB"/>
        </w:rPr>
        <w:t>Total Refining and Chemicals, Feluy, Belgium.</w:t>
      </w:r>
    </w:p>
    <w:p w14:paraId="404566EF" w14:textId="49BDDCE2" w:rsidR="00A32DD7" w:rsidRPr="00CD48FA" w:rsidRDefault="00E11D54" w:rsidP="00230BCD">
      <w:pPr>
        <w:rPr>
          <w:lang w:val="en-GB"/>
        </w:rPr>
      </w:pPr>
      <w:r>
        <w:rPr>
          <w:vertAlign w:val="superscript"/>
          <w:lang w:val="en-GB"/>
        </w:rPr>
        <w:t>5</w:t>
      </w:r>
      <w:r w:rsidRPr="00CD48FA">
        <w:rPr>
          <w:lang w:val="en-GB"/>
        </w:rPr>
        <w:t xml:space="preserve"> </w:t>
      </w:r>
      <w:r w:rsidR="0004631E" w:rsidRPr="0004631E">
        <w:rPr>
          <w:lang w:val="en-GB"/>
        </w:rPr>
        <w:t>Penman Consulting Limited, Wantage, UK,</w:t>
      </w:r>
    </w:p>
    <w:p w14:paraId="0BDCEA08" w14:textId="77777777" w:rsidR="00230BCD" w:rsidRPr="00CD48FA" w:rsidRDefault="00230BCD" w:rsidP="00230BCD">
      <w:pPr>
        <w:pStyle w:val="Heading1"/>
        <w:rPr>
          <w:lang w:val="en-GB"/>
        </w:rPr>
      </w:pPr>
      <w:r w:rsidRPr="00CD48FA">
        <w:rPr>
          <w:lang w:val="en-GB"/>
        </w:rPr>
        <w:t>Abstract</w:t>
      </w:r>
    </w:p>
    <w:p w14:paraId="350AE4C9" w14:textId="111782A6" w:rsidR="00230BCD" w:rsidRPr="00CD48FA" w:rsidRDefault="00230BCD" w:rsidP="00230BCD">
      <w:pPr>
        <w:rPr>
          <w:lang w:val="en-GB"/>
        </w:rPr>
      </w:pPr>
      <w:r w:rsidRPr="0DB996AC">
        <w:rPr>
          <w:lang w:val="en-GB"/>
        </w:rPr>
        <w:t xml:space="preserve">Occupational exposure to benzene at levels of 10 ppm or more has been associated with increased risk of acute myeloid </w:t>
      </w:r>
      <w:r w:rsidR="2E744577" w:rsidRPr="0DB996AC">
        <w:rPr>
          <w:lang w:val="en-GB"/>
        </w:rPr>
        <w:t>leukaem</w:t>
      </w:r>
      <w:r w:rsidRPr="0DB996AC">
        <w:rPr>
          <w:lang w:val="en-GB"/>
        </w:rPr>
        <w:t xml:space="preserve">ia (AML). </w:t>
      </w:r>
      <w:r w:rsidR="00F243D9" w:rsidRPr="0DB996AC">
        <w:rPr>
          <w:lang w:val="en-GB"/>
        </w:rPr>
        <w:t xml:space="preserve">The </w:t>
      </w:r>
      <w:r w:rsidR="00FF0C86" w:rsidRPr="0DB996AC">
        <w:rPr>
          <w:lang w:val="en-GB"/>
        </w:rPr>
        <w:t xml:space="preserve">mode of action (MOA) for </w:t>
      </w:r>
      <w:r w:rsidR="00F243D9" w:rsidRPr="0DB996AC">
        <w:rPr>
          <w:lang w:val="en-GB"/>
        </w:rPr>
        <w:t>AML development leading to mortality is anticipated to include multiple earlier key events, which can be observed in hem</w:t>
      </w:r>
      <w:r w:rsidR="009C4F1E" w:rsidRPr="0DB996AC">
        <w:rPr>
          <w:lang w:val="en-GB"/>
        </w:rPr>
        <w:t>a</w:t>
      </w:r>
      <w:r w:rsidR="00F243D9" w:rsidRPr="0DB996AC">
        <w:rPr>
          <w:lang w:val="en-GB"/>
        </w:rPr>
        <w:t>totoxicity and genetic toxicity in peripheral blood of exposed workers.</w:t>
      </w:r>
      <w:r w:rsidRPr="0DB996AC">
        <w:rPr>
          <w:lang w:val="en-GB"/>
        </w:rPr>
        <w:t xml:space="preserve"> </w:t>
      </w:r>
      <w:r w:rsidR="0051476E" w:rsidRPr="0DB996AC">
        <w:rPr>
          <w:lang w:val="en-GB"/>
        </w:rPr>
        <w:t xml:space="preserve">Prevention of </w:t>
      </w:r>
      <w:r w:rsidR="7D65DBF3" w:rsidRPr="0DB996AC">
        <w:rPr>
          <w:lang w:val="en-GB"/>
        </w:rPr>
        <w:t xml:space="preserve">these </w:t>
      </w:r>
      <w:r w:rsidR="0051476E" w:rsidRPr="0DB996AC">
        <w:rPr>
          <w:lang w:val="en-GB"/>
        </w:rPr>
        <w:t>early events</w:t>
      </w:r>
      <w:r w:rsidR="23FEF0AC" w:rsidRPr="0DB996AC">
        <w:rPr>
          <w:lang w:val="en-GB"/>
        </w:rPr>
        <w:t xml:space="preserve"> would</w:t>
      </w:r>
      <w:r w:rsidR="0051476E" w:rsidRPr="0DB996AC">
        <w:rPr>
          <w:lang w:val="en-GB"/>
        </w:rPr>
        <w:t xml:space="preserve"> lead to </w:t>
      </w:r>
      <w:r w:rsidR="00C76348" w:rsidRPr="0DB996AC">
        <w:rPr>
          <w:lang w:val="en-GB"/>
        </w:rPr>
        <w:t>prevention</w:t>
      </w:r>
      <w:r w:rsidR="0051476E" w:rsidRPr="0DB996AC">
        <w:rPr>
          <w:lang w:val="en-GB"/>
        </w:rPr>
        <w:t xml:space="preserve"> </w:t>
      </w:r>
      <w:r w:rsidR="4C46BA65" w:rsidRPr="0DB996AC">
        <w:rPr>
          <w:lang w:val="en-GB"/>
        </w:rPr>
        <w:t xml:space="preserve">of </w:t>
      </w:r>
      <w:r w:rsidR="4BC53207" w:rsidRPr="0DB996AC">
        <w:rPr>
          <w:lang w:val="en-GB"/>
        </w:rPr>
        <w:t xml:space="preserve">the </w:t>
      </w:r>
      <w:r w:rsidR="001726FA" w:rsidRPr="0DB996AC">
        <w:rPr>
          <w:lang w:val="en-GB"/>
        </w:rPr>
        <w:t>apical, adverse outcomes, the morbidity and mortality caused by the myelodyspla</w:t>
      </w:r>
      <w:r w:rsidR="7E2720D5" w:rsidRPr="0DB996AC">
        <w:rPr>
          <w:lang w:val="en-GB"/>
        </w:rPr>
        <w:t>s</w:t>
      </w:r>
      <w:r w:rsidR="001726FA" w:rsidRPr="0DB996AC">
        <w:rPr>
          <w:lang w:val="en-GB"/>
        </w:rPr>
        <w:t>tic syndrome (MDS) and AML</w:t>
      </w:r>
      <w:r w:rsidR="0051476E" w:rsidRPr="0DB996AC">
        <w:rPr>
          <w:lang w:val="en-GB"/>
        </w:rPr>
        <w:t xml:space="preserve">.. Incorporation of key event information should modify the risk model, but few modification approaches have been suggested. </w:t>
      </w:r>
      <w:r w:rsidR="00F243D9" w:rsidRPr="0DB996AC">
        <w:rPr>
          <w:lang w:val="en-GB"/>
        </w:rPr>
        <w:t>To that end,</w:t>
      </w:r>
      <w:r w:rsidRPr="0DB996AC">
        <w:rPr>
          <w:lang w:val="en-GB"/>
        </w:rPr>
        <w:t xml:space="preserve"> </w:t>
      </w:r>
      <w:r w:rsidR="00F243D9" w:rsidRPr="0DB996AC">
        <w:rPr>
          <w:lang w:val="en-GB"/>
        </w:rPr>
        <w:t xml:space="preserve">two </w:t>
      </w:r>
      <w:r w:rsidR="0051476E" w:rsidRPr="0DB996AC">
        <w:rPr>
          <w:lang w:val="en-GB"/>
        </w:rPr>
        <w:t xml:space="preserve">approaches to risk </w:t>
      </w:r>
      <w:r w:rsidRPr="0DB996AC">
        <w:rPr>
          <w:lang w:val="en-GB"/>
        </w:rPr>
        <w:t>model</w:t>
      </w:r>
      <w:r w:rsidR="0051476E" w:rsidRPr="0DB996AC">
        <w:rPr>
          <w:lang w:val="en-GB"/>
        </w:rPr>
        <w:t xml:space="preserve"> modification</w:t>
      </w:r>
      <w:r w:rsidRPr="0DB996AC">
        <w:rPr>
          <w:lang w:val="en-GB"/>
        </w:rPr>
        <w:t xml:space="preserve"> </w:t>
      </w:r>
      <w:r w:rsidR="00F243D9" w:rsidRPr="0DB996AC">
        <w:rPr>
          <w:lang w:val="en-GB"/>
        </w:rPr>
        <w:t xml:space="preserve">are </w:t>
      </w:r>
      <w:r w:rsidRPr="0DB996AC">
        <w:rPr>
          <w:lang w:val="en-GB"/>
        </w:rPr>
        <w:t>describe</w:t>
      </w:r>
      <w:r w:rsidR="00F243D9" w:rsidRPr="0DB996AC">
        <w:rPr>
          <w:lang w:val="en-GB"/>
        </w:rPr>
        <w:t xml:space="preserve">d that </w:t>
      </w:r>
      <w:r w:rsidR="0051476E" w:rsidRPr="0DB996AC">
        <w:rPr>
          <w:lang w:val="en-GB"/>
        </w:rPr>
        <w:t xml:space="preserve">use </w:t>
      </w:r>
      <w:r w:rsidR="3466CDBB" w:rsidRPr="0DB996AC">
        <w:rPr>
          <w:lang w:val="en-GB"/>
        </w:rPr>
        <w:t>sub-</w:t>
      </w:r>
      <w:r w:rsidRPr="0DB996AC">
        <w:rPr>
          <w:lang w:val="en-GB"/>
        </w:rPr>
        <w:t xml:space="preserve">linear </w:t>
      </w:r>
      <w:r w:rsidR="443303E5" w:rsidRPr="0DB996AC">
        <w:rPr>
          <w:lang w:val="en-GB"/>
        </w:rPr>
        <w:t xml:space="preserve">and segmented linear </w:t>
      </w:r>
      <w:r w:rsidRPr="0DB996AC">
        <w:rPr>
          <w:lang w:val="en-GB"/>
        </w:rPr>
        <w:t>increase</w:t>
      </w:r>
      <w:r w:rsidR="00F243D9" w:rsidRPr="0DB996AC">
        <w:rPr>
          <w:lang w:val="en-GB"/>
        </w:rPr>
        <w:t>s</w:t>
      </w:r>
      <w:r w:rsidRPr="0DB996AC">
        <w:rPr>
          <w:lang w:val="en-GB"/>
        </w:rPr>
        <w:t xml:space="preserve"> in </w:t>
      </w:r>
      <w:r w:rsidR="7A783FF4" w:rsidRPr="0DB996AC">
        <w:rPr>
          <w:lang w:val="en-GB"/>
        </w:rPr>
        <w:t xml:space="preserve">risk below key events, while maintaining a linear increase in </w:t>
      </w:r>
      <w:r w:rsidRPr="0DB996AC">
        <w:rPr>
          <w:lang w:val="en-GB"/>
        </w:rPr>
        <w:t xml:space="preserve">AML mortality </w:t>
      </w:r>
      <w:r w:rsidR="0051476E" w:rsidRPr="0DB996AC">
        <w:rPr>
          <w:lang w:val="en-GB"/>
        </w:rPr>
        <w:t xml:space="preserve">risk </w:t>
      </w:r>
      <w:r w:rsidRPr="0DB996AC">
        <w:rPr>
          <w:lang w:val="en-GB"/>
        </w:rPr>
        <w:t>beginning at 2 ppm, the lowest observed adverse effect concen</w:t>
      </w:r>
      <w:r w:rsidR="00D338E6" w:rsidRPr="0DB996AC">
        <w:rPr>
          <w:lang w:val="en-GB"/>
        </w:rPr>
        <w:t>tration (LOAEC) identified for hemato- and geno-</w:t>
      </w:r>
      <w:r w:rsidR="0051476E" w:rsidRPr="0DB996AC">
        <w:rPr>
          <w:lang w:val="en-GB"/>
        </w:rPr>
        <w:t xml:space="preserve"> </w:t>
      </w:r>
      <w:r w:rsidR="00D338E6" w:rsidRPr="0DB996AC">
        <w:rPr>
          <w:lang w:val="en-GB"/>
        </w:rPr>
        <w:t>toxicity in high quality studies of human occupational exposure.</w:t>
      </w:r>
      <w:r w:rsidR="001177B7" w:rsidRPr="0DB996AC">
        <w:rPr>
          <w:lang w:val="en-GB"/>
        </w:rPr>
        <w:t xml:space="preserve"> Below 2 ppm two different </w:t>
      </w:r>
      <w:r w:rsidR="00FF0C86" w:rsidRPr="0DB996AC">
        <w:rPr>
          <w:lang w:val="en-GB"/>
        </w:rPr>
        <w:t xml:space="preserve">modification </w:t>
      </w:r>
      <w:r w:rsidR="001177B7" w:rsidRPr="0DB996AC">
        <w:rPr>
          <w:lang w:val="en-GB"/>
        </w:rPr>
        <w:t xml:space="preserve">approaches to quantitative risk models were applied: a continuously decreasing slope model and a </w:t>
      </w:r>
      <w:r w:rsidR="0051476E" w:rsidRPr="0DB996AC">
        <w:rPr>
          <w:lang w:val="en-GB"/>
        </w:rPr>
        <w:t>segmented modification</w:t>
      </w:r>
      <w:r w:rsidR="001177B7" w:rsidRPr="0DB996AC">
        <w:rPr>
          <w:lang w:val="en-GB"/>
        </w:rPr>
        <w:t xml:space="preserve"> in slope.</w:t>
      </w:r>
      <w:r w:rsidR="0051476E" w:rsidRPr="0DB996AC">
        <w:rPr>
          <w:lang w:val="en-GB"/>
        </w:rPr>
        <w:t xml:space="preserve"> These two approaches provide greater flexibility to incorporate </w:t>
      </w:r>
      <w:r w:rsidR="009C4F1E" w:rsidRPr="0DB996AC">
        <w:rPr>
          <w:lang w:val="en-GB"/>
        </w:rPr>
        <w:t>MOA</w:t>
      </w:r>
      <w:r w:rsidR="00FF0C86" w:rsidRPr="0DB996AC">
        <w:rPr>
          <w:lang w:val="en-GB"/>
        </w:rPr>
        <w:t xml:space="preserve"> information </w:t>
      </w:r>
      <w:r w:rsidR="0051476E" w:rsidRPr="0DB996AC">
        <w:rPr>
          <w:lang w:val="en-GB"/>
        </w:rPr>
        <w:t xml:space="preserve">in </w:t>
      </w:r>
      <w:r w:rsidR="00FF0C86" w:rsidRPr="0DB996AC">
        <w:rPr>
          <w:lang w:val="en-GB"/>
        </w:rPr>
        <w:t xml:space="preserve">risk </w:t>
      </w:r>
      <w:r w:rsidR="0051476E" w:rsidRPr="0DB996AC">
        <w:rPr>
          <w:lang w:val="en-GB"/>
        </w:rPr>
        <w:t xml:space="preserve">model </w:t>
      </w:r>
      <w:r w:rsidR="00FF0C86" w:rsidRPr="0DB996AC">
        <w:rPr>
          <w:lang w:val="en-GB"/>
        </w:rPr>
        <w:t>development and selection.</w:t>
      </w:r>
    </w:p>
    <w:p w14:paraId="7DF7CF7A" w14:textId="77777777" w:rsidR="00230BCD" w:rsidRPr="00CD48FA" w:rsidRDefault="00230BCD" w:rsidP="00230BCD">
      <w:pPr>
        <w:rPr>
          <w:lang w:val="en-GB"/>
        </w:rPr>
      </w:pPr>
    </w:p>
    <w:p w14:paraId="26DF8112" w14:textId="77777777" w:rsidR="00230BCD" w:rsidRPr="00CD48FA" w:rsidRDefault="00230BCD" w:rsidP="00230BCD">
      <w:pPr>
        <w:pStyle w:val="Heading1"/>
        <w:rPr>
          <w:lang w:val="en-GB"/>
        </w:rPr>
      </w:pPr>
      <w:r w:rsidRPr="00CD48FA">
        <w:rPr>
          <w:lang w:val="en-GB"/>
        </w:rPr>
        <w:t>Background</w:t>
      </w:r>
    </w:p>
    <w:p w14:paraId="08D2B437" w14:textId="4DFBC3F7" w:rsidR="002D1BCE" w:rsidRPr="00CD48FA" w:rsidRDefault="00936C41" w:rsidP="00230BCD">
      <w:pPr>
        <w:rPr>
          <w:lang w:val="en-GB"/>
        </w:rPr>
      </w:pPr>
      <w:r w:rsidRPr="1553EFF0">
        <w:rPr>
          <w:lang w:val="en-GB"/>
        </w:rPr>
        <w:t>Benzene is a naturally occurring hydrocarbon present in petroleum and some petroleum-derived products. It</w:t>
      </w:r>
      <w:r w:rsidR="00C02D9D" w:rsidRPr="1553EFF0">
        <w:rPr>
          <w:lang w:val="en-GB"/>
        </w:rPr>
        <w:t>s potential to</w:t>
      </w:r>
      <w:r w:rsidRPr="1553EFF0">
        <w:rPr>
          <w:lang w:val="en-GB"/>
        </w:rPr>
        <w:t xml:space="preserve"> cause </w:t>
      </w:r>
      <w:r w:rsidR="2C1CFA4F" w:rsidRPr="1553EFF0">
        <w:rPr>
          <w:lang w:val="en-GB"/>
        </w:rPr>
        <w:t>leukaem</w:t>
      </w:r>
      <w:r w:rsidR="004C1BA9" w:rsidRPr="1553EFF0">
        <w:rPr>
          <w:lang w:val="en-GB"/>
        </w:rPr>
        <w:t>ia</w:t>
      </w:r>
      <w:r w:rsidRPr="1553EFF0">
        <w:rPr>
          <w:lang w:val="en-GB"/>
        </w:rPr>
        <w:t xml:space="preserve"> and bone marrow toxicity in humans</w:t>
      </w:r>
      <w:r w:rsidR="00C02D9D" w:rsidRPr="1553EFF0">
        <w:rPr>
          <w:lang w:val="en-GB"/>
        </w:rPr>
        <w:t xml:space="preserve"> is known</w:t>
      </w:r>
      <w:r w:rsidRPr="1553EFF0">
        <w:rPr>
          <w:lang w:val="en-GB"/>
        </w:rPr>
        <w:t xml:space="preserve">. Owing to </w:t>
      </w:r>
      <w:r w:rsidR="004C1BA9" w:rsidRPr="1553EFF0">
        <w:rPr>
          <w:lang w:val="en-GB"/>
        </w:rPr>
        <w:t>benzene’s</w:t>
      </w:r>
      <w:r w:rsidRPr="1553EFF0">
        <w:rPr>
          <w:lang w:val="en-GB"/>
        </w:rPr>
        <w:t xml:space="preserve"> hazard potential, different </w:t>
      </w:r>
      <w:r w:rsidR="002D1BCE" w:rsidRPr="1553EFF0">
        <w:rPr>
          <w:lang w:val="en-GB"/>
        </w:rPr>
        <w:t>governmental and non-governmental entities</w:t>
      </w:r>
      <w:r w:rsidRPr="1553EFF0">
        <w:rPr>
          <w:lang w:val="en-GB"/>
        </w:rPr>
        <w:t xml:space="preserve"> globally have recommended limiting environmental and occupational </w:t>
      </w:r>
      <w:r w:rsidR="002D1BCE" w:rsidRPr="1553EFF0">
        <w:rPr>
          <w:lang w:val="en-GB"/>
        </w:rPr>
        <w:t xml:space="preserve">benzene </w:t>
      </w:r>
      <w:r w:rsidRPr="1553EFF0">
        <w:rPr>
          <w:lang w:val="en-GB"/>
        </w:rPr>
        <w:t>exposures</w:t>
      </w:r>
      <w:r w:rsidR="002D1BCE" w:rsidRPr="1553EFF0">
        <w:rPr>
          <w:lang w:val="en-GB"/>
        </w:rPr>
        <w:t xml:space="preserve">. These recommendations vary depending on the population of interest, the method used for </w:t>
      </w:r>
      <w:r w:rsidR="005D6A2D" w:rsidRPr="1553EFF0">
        <w:rPr>
          <w:lang w:val="en-GB"/>
        </w:rPr>
        <w:t>exposure</w:t>
      </w:r>
      <w:r w:rsidR="002D1BCE" w:rsidRPr="1553EFF0">
        <w:rPr>
          <w:lang w:val="en-GB"/>
        </w:rPr>
        <w:t xml:space="preserve"> limit development, and other factors used by the limit setting entity.</w:t>
      </w:r>
    </w:p>
    <w:p w14:paraId="05384FAE" w14:textId="18D2CF18" w:rsidR="002D1BCE" w:rsidRPr="00CD48FA" w:rsidRDefault="002D1BCE" w:rsidP="00230BCD">
      <w:pPr>
        <w:rPr>
          <w:lang w:val="en-GB"/>
        </w:rPr>
      </w:pPr>
      <w:r w:rsidRPr="1553EFF0">
        <w:rPr>
          <w:lang w:val="en-GB"/>
        </w:rPr>
        <w:t xml:space="preserve">Over the course of 2018 and 2019 there were substantial scientific discussions in the European Union focused on recommendation of an </w:t>
      </w:r>
      <w:r w:rsidR="00C02D9D" w:rsidRPr="1553EFF0">
        <w:rPr>
          <w:lang w:val="en-GB"/>
        </w:rPr>
        <w:t>occupational exposure limit</w:t>
      </w:r>
      <w:r w:rsidRPr="1553EFF0">
        <w:rPr>
          <w:lang w:val="en-GB"/>
        </w:rPr>
        <w:t xml:space="preserve"> for benzene.</w:t>
      </w:r>
      <w:r w:rsidR="00331D2F" w:rsidRPr="1553EFF0">
        <w:rPr>
          <w:lang w:val="en-GB"/>
        </w:rPr>
        <w:t xml:space="preserve"> The Committee for Risk Assessment (RAC) of the European Chemicals Agency concluded there was </w:t>
      </w:r>
      <w:r w:rsidR="0031002A" w:rsidRPr="1553EFF0">
        <w:rPr>
          <w:lang w:val="en-GB"/>
        </w:rPr>
        <w:t xml:space="preserve">no significant residual cancer risk and </w:t>
      </w:r>
      <w:r w:rsidR="004D1FF9" w:rsidRPr="1553EFF0">
        <w:rPr>
          <w:lang w:val="en-GB"/>
        </w:rPr>
        <w:t xml:space="preserve">that </w:t>
      </w:r>
      <w:r w:rsidR="0031002A" w:rsidRPr="1553EFF0">
        <w:rPr>
          <w:lang w:val="en-GB"/>
        </w:rPr>
        <w:t xml:space="preserve">other adverse </w:t>
      </w:r>
      <w:r w:rsidR="004D1FF9" w:rsidRPr="1553EFF0">
        <w:rPr>
          <w:lang w:val="en-GB"/>
        </w:rPr>
        <w:t xml:space="preserve">health </w:t>
      </w:r>
      <w:r w:rsidR="0031002A" w:rsidRPr="1553EFF0">
        <w:rPr>
          <w:lang w:val="en-GB"/>
        </w:rPr>
        <w:t xml:space="preserve">effects </w:t>
      </w:r>
      <w:r w:rsidR="004D1FF9" w:rsidRPr="1553EFF0">
        <w:rPr>
          <w:lang w:val="en-GB"/>
        </w:rPr>
        <w:t xml:space="preserve">were avoided </w:t>
      </w:r>
      <w:r w:rsidR="00331D2F" w:rsidRPr="1553EFF0">
        <w:rPr>
          <w:lang w:val="en-GB"/>
        </w:rPr>
        <w:t xml:space="preserve">when occupational exposures were </w:t>
      </w:r>
      <w:r w:rsidR="0031002A" w:rsidRPr="1553EFF0">
        <w:rPr>
          <w:lang w:val="en-GB"/>
        </w:rPr>
        <w:t>below</w:t>
      </w:r>
      <w:r w:rsidR="00331D2F" w:rsidRPr="1553EFF0">
        <w:rPr>
          <w:lang w:val="en-GB"/>
        </w:rPr>
        <w:t xml:space="preserve"> 0.05 ppm</w:t>
      </w:r>
      <w:r w:rsidR="00B94098" w:rsidRPr="1553EFF0">
        <w:rPr>
          <w:lang w:val="en-GB"/>
        </w:rPr>
        <w:t xml:space="preserve"> </w:t>
      </w:r>
      <w:r w:rsidR="004D1FF9" w:rsidRPr="1553EFF0">
        <w:rPr>
          <w:lang w:val="en-GB"/>
        </w:rPr>
        <w:t>8 hour time-weighted average (8h TWA)</w:t>
      </w:r>
      <w:r w:rsidR="001E3309" w:rsidRPr="1553EFF0">
        <w:rPr>
          <w:lang w:val="en-GB"/>
        </w:rPr>
        <w:t xml:space="preserve"> </w:t>
      </w:r>
      <w:r w:rsidRPr="1553EFF0">
        <w:rPr>
          <w:lang w:val="en-GB"/>
        </w:rPr>
        <w:fldChar w:fldCharType="begin"/>
      </w:r>
      <w:r w:rsidRPr="1553EFF0">
        <w:rPr>
          <w:lang w:val="en-GB"/>
        </w:rPr>
        <w:instrText xml:space="preserve"> ADDIN EN.CITE &lt;EndNote&gt;&lt;Cite&gt;&lt;Author&gt;Committee for Risk Assessment&lt;/Author&gt;&lt;Year&gt;2018&lt;/Year&gt;&lt;RecNum&gt;947&lt;/RecNum&gt;&lt;DisplayText&gt;(Committee for Risk Assessment, 2018)&lt;/DisplayText&gt;&lt;record&gt;&lt;rec-number&gt;947&lt;/rec-number&gt;&lt;foreign-keys&gt;&lt;key app="EN" db-id="0d0929f959rse9ex25rp09za5avf0ept9spf" timestamp="1550503371"&gt;947&lt;/key&gt;&lt;/foreign-keys&gt;&lt;ref-type name="Report"&gt;27&lt;/ref-type&gt;&lt;contributors&gt;&lt;authors&gt;&lt;author&gt;Committee for Risk Assessment,&lt;/author&gt;&lt;/authors&gt;&lt;/contributors&gt;&lt;titles&gt;&lt;title&gt;Opinion on scientific evaluation of occupational exposure limits for Benzene&lt;/title&gt;&lt;/titles&gt;&lt;number&gt;ECHA/RAC/ O-000000-1412-86-187/F&lt;/number&gt;&lt;dates&gt;&lt;year&gt;2018&lt;/year&gt;&lt;/dates&gt;&lt;publisher&gt;European Chemicals Agency&lt;/publisher&gt;&lt;urls&gt;&lt;/urls&gt;&lt;/record&gt;&lt;/Cite&gt;&lt;/EndNote&gt;</w:instrText>
      </w:r>
      <w:r w:rsidRPr="1553EFF0">
        <w:rPr>
          <w:lang w:val="en-GB"/>
        </w:rPr>
        <w:fldChar w:fldCharType="separate"/>
      </w:r>
      <w:r w:rsidR="004653BE" w:rsidRPr="1553EFF0">
        <w:rPr>
          <w:noProof/>
          <w:lang w:val="en-GB"/>
        </w:rPr>
        <w:t>(</w:t>
      </w:r>
      <w:hyperlink w:anchor="_ENREF_10" w:tooltip="Committee for Risk Assessment, 2018 #947" w:history="1">
        <w:r w:rsidR="004C59A6" w:rsidRPr="1553EFF0">
          <w:rPr>
            <w:noProof/>
            <w:lang w:val="en-GB"/>
          </w:rPr>
          <w:t>Committee for Risk Assessment, 2018</w:t>
        </w:r>
      </w:hyperlink>
      <w:r w:rsidR="004653BE" w:rsidRPr="1553EFF0">
        <w:rPr>
          <w:noProof/>
          <w:lang w:val="en-GB"/>
        </w:rPr>
        <w:t>)</w:t>
      </w:r>
      <w:r w:rsidRPr="1553EFF0">
        <w:rPr>
          <w:lang w:val="en-GB"/>
        </w:rPr>
        <w:fldChar w:fldCharType="end"/>
      </w:r>
      <w:r w:rsidR="00331D2F" w:rsidRPr="1553EFF0">
        <w:rPr>
          <w:lang w:val="en-GB"/>
        </w:rPr>
        <w:t>.</w:t>
      </w:r>
      <w:r w:rsidR="0031002A" w:rsidRPr="1553EFF0">
        <w:rPr>
          <w:lang w:val="en-GB"/>
        </w:rPr>
        <w:t xml:space="preserve"> In later discussion the Advisory Committee for Safety and Health at Work considered both the RAC opinion and the benefit cost analysis, </w:t>
      </w:r>
      <w:r w:rsidR="00B80869" w:rsidRPr="1553EFF0">
        <w:rPr>
          <w:lang w:val="en-GB"/>
        </w:rPr>
        <w:t>recommending a progressive reduction in the EU benzene OEL from 1 ppm to 0.5 ppm</w:t>
      </w:r>
      <w:r w:rsidR="004D1FF9" w:rsidRPr="1553EFF0">
        <w:rPr>
          <w:lang w:val="en-GB"/>
        </w:rPr>
        <w:t xml:space="preserve"> 8h TWA</w:t>
      </w:r>
      <w:r w:rsidR="00B80869" w:rsidRPr="1553EFF0">
        <w:rPr>
          <w:lang w:val="en-GB"/>
        </w:rPr>
        <w:t>, then within two years following that decrease a second decrease to 0.2 ppm</w:t>
      </w:r>
      <w:r w:rsidR="00FF0C86" w:rsidRPr="1553EFF0">
        <w:rPr>
          <w:lang w:val="en-GB"/>
        </w:rPr>
        <w:t xml:space="preserve"> </w:t>
      </w:r>
      <w:r w:rsidRPr="1553EFF0">
        <w:rPr>
          <w:lang w:val="en-GB"/>
        </w:rPr>
        <w:fldChar w:fldCharType="begin"/>
      </w:r>
      <w:r w:rsidRPr="1553EFF0">
        <w:rPr>
          <w:lang w:val="en-GB"/>
        </w:rPr>
        <w:instrText xml:space="preserve"> ADDIN EN.CITE &lt;EndNote&gt;&lt;Cite&gt;&lt;Author&gt;Advisory Committee on Safety and Health at Work&lt;/Author&gt;&lt;Year&gt;2019&lt;/Year&gt;&lt;RecNum&gt;1147&lt;/RecNum&gt;&lt;DisplayText&gt;(Advisory Committee on Safety and Health at Work, 2019)&lt;/DisplayText&gt;&lt;record&gt;&lt;rec-number&gt;1147&lt;/rec-number&gt;&lt;foreign-keys&gt;&lt;key app="EN" db-id="0d0929f959rse9ex25rp09za5avf0ept9spf" timestamp="1588013034"&gt;1147&lt;/key&gt;&lt;/foreign-keys&gt;&lt;ref-type name="Government Document"&gt;46&lt;/ref-type&gt;&lt;contributors&gt;&lt;authors&gt;&lt;author&gt;Advisory Committee on Safety and Health at Work,&lt;/author&gt;&lt;/authors&gt;&lt;/contributors&gt;&lt;titles&gt;&lt;title&gt;Opinion on an EU Binding Occupational Exposure Limit Value (BOEL) for Benzene under the Carcinogens and Mutagens Directive 2004/37/EC.&lt;/title&gt;&lt;/titles&gt;&lt;dates&gt;&lt;year&gt;2019&lt;/year&gt;&lt;/dates&gt;&lt;isbn&gt;105619&lt;/isbn&gt;&lt;urls&gt;&lt;related-urls&gt;&lt;url&gt;https://circabc.europa.eu/sd/a/b28832c6-8cc6-4a6c-b966-986211b180fc/Doc.1056-19-EN-ACSH%20CMD_Opinion_benzene%20Adoped%2004062019.pdf&lt;/url&gt;&lt;/related-urls&gt;&lt;/urls&gt;&lt;/record&gt;&lt;/Cite&gt;&lt;/EndNote&gt;</w:instrText>
      </w:r>
      <w:r w:rsidRPr="1553EFF0">
        <w:rPr>
          <w:lang w:val="en-GB"/>
        </w:rPr>
        <w:fldChar w:fldCharType="separate"/>
      </w:r>
      <w:r w:rsidR="004653BE" w:rsidRPr="1553EFF0">
        <w:rPr>
          <w:noProof/>
          <w:lang w:val="en-GB"/>
        </w:rPr>
        <w:t>(</w:t>
      </w:r>
      <w:hyperlink w:anchor="_ENREF_1" w:tooltip="Advisory Committee on Safety and Health at Work, 2019 #1147" w:history="1">
        <w:r w:rsidR="004C59A6" w:rsidRPr="1553EFF0">
          <w:rPr>
            <w:noProof/>
            <w:lang w:val="en-GB"/>
          </w:rPr>
          <w:t>Advisory Committee on Safety and Health at Work, 2019</w:t>
        </w:r>
      </w:hyperlink>
      <w:r w:rsidR="004653BE" w:rsidRPr="1553EFF0">
        <w:rPr>
          <w:noProof/>
          <w:lang w:val="en-GB"/>
        </w:rPr>
        <w:t>)</w:t>
      </w:r>
      <w:r w:rsidRPr="1553EFF0">
        <w:rPr>
          <w:lang w:val="en-GB"/>
        </w:rPr>
        <w:fldChar w:fldCharType="end"/>
      </w:r>
      <w:r w:rsidR="00EB4E3F">
        <w:rPr>
          <w:lang w:val="en-GB"/>
        </w:rPr>
        <w:t xml:space="preserve">, the same as the level recommended by the Dutch Expert Committee on Occupational Safety </w:t>
      </w:r>
      <w:r w:rsidR="00EB4E3F">
        <w:rPr>
          <w:lang w:val="en-GB"/>
        </w:rPr>
        <w:fldChar w:fldCharType="begin"/>
      </w:r>
      <w:r w:rsidR="00EB4E3F">
        <w:rPr>
          <w:lang w:val="en-GB"/>
        </w:rPr>
        <w:instrText xml:space="preserve"> ADDIN EN.CITE &lt;EndNote&gt;&lt;Cite ExcludeAuth="1"&gt;&lt;Author&gt;Dutch Expert Committee on Occupational Safety&lt;/Author&gt;&lt;Year&gt;2014&lt;/Year&gt;&lt;RecNum&gt;508&lt;/RecNum&gt;&lt;DisplayText&gt;(2014)&lt;/DisplayText&gt;&lt;record&gt;&lt;rec-number&gt;508&lt;/rec-number&gt;&lt;foreign-keys&gt;&lt;key app="EN" db-id="0d0929f959rse9ex25rp09za5avf0ept9spf" timestamp="1492030128"&gt;508&lt;/key&gt;&lt;/foreign-keys&gt;&lt;ref-type name="Report"&gt;27&lt;/ref-type&gt;&lt;contributors&gt;&lt;authors&gt;&lt;author&gt;Dutch Expert Committee on Occupational Safety,&lt;/author&gt;&lt;/authors&gt;&lt;/contributors&gt;&lt;titles&gt;&lt;title&gt;Benzene - Health-based recommended occupational exposure limit&lt;/title&gt;&lt;/titles&gt;&lt;dates&gt;&lt;year&gt;2014&lt;/year&gt;&lt;/dates&gt;&lt;publisher&gt;Health Council of the Netherlands,&lt;/publisher&gt;&lt;isbn&gt;2014/03&lt;/isbn&gt;&lt;accession-num&gt;ISBN 978-90-5549-988-5&lt;/accession-num&gt;&lt;urls&gt;&lt;/urls&gt;&lt;/record&gt;&lt;/Cite&gt;&lt;/EndNote&gt;</w:instrText>
      </w:r>
      <w:r w:rsidR="00EB4E3F">
        <w:rPr>
          <w:lang w:val="en-GB"/>
        </w:rPr>
        <w:fldChar w:fldCharType="separate"/>
      </w:r>
      <w:r w:rsidR="00EB4E3F">
        <w:rPr>
          <w:noProof/>
          <w:lang w:val="en-GB"/>
        </w:rPr>
        <w:t>(</w:t>
      </w:r>
      <w:hyperlink w:anchor="_ENREF_13" w:tooltip="Dutch Expert Committee on Occupational Safety, 2014 #508" w:history="1">
        <w:r w:rsidR="004C59A6">
          <w:rPr>
            <w:noProof/>
            <w:lang w:val="en-GB"/>
          </w:rPr>
          <w:t>2014</w:t>
        </w:r>
      </w:hyperlink>
      <w:r w:rsidR="00EB4E3F">
        <w:rPr>
          <w:noProof/>
          <w:lang w:val="en-GB"/>
        </w:rPr>
        <w:t>)</w:t>
      </w:r>
      <w:r w:rsidR="00EB4E3F">
        <w:rPr>
          <w:lang w:val="en-GB"/>
        </w:rPr>
        <w:fldChar w:fldCharType="end"/>
      </w:r>
      <w:r w:rsidR="00EB4E3F">
        <w:rPr>
          <w:lang w:val="en-GB"/>
        </w:rPr>
        <w:t>.</w:t>
      </w:r>
      <w:r w:rsidR="00B80869" w:rsidRPr="1553EFF0">
        <w:rPr>
          <w:lang w:val="en-GB"/>
        </w:rPr>
        <w:t xml:space="preserve"> In parallel, the Lower Olefins and Aromatics </w:t>
      </w:r>
      <w:r w:rsidR="56E32A46" w:rsidRPr="1553EFF0">
        <w:rPr>
          <w:lang w:val="en-GB"/>
        </w:rPr>
        <w:t xml:space="preserve">(LOA) </w:t>
      </w:r>
      <w:r w:rsidR="00B80869" w:rsidRPr="1553EFF0">
        <w:rPr>
          <w:lang w:val="en-GB"/>
        </w:rPr>
        <w:t>consorti</w:t>
      </w:r>
      <w:r w:rsidR="003371A1" w:rsidRPr="1553EFF0">
        <w:rPr>
          <w:lang w:val="en-GB"/>
        </w:rPr>
        <w:t>um</w:t>
      </w:r>
      <w:r w:rsidR="00B80869" w:rsidRPr="1553EFF0">
        <w:rPr>
          <w:lang w:val="en-GB"/>
        </w:rPr>
        <w:t xml:space="preserve">, which manages the </w:t>
      </w:r>
      <w:r w:rsidR="005D6A2D" w:rsidRPr="1553EFF0">
        <w:rPr>
          <w:lang w:val="en-GB"/>
        </w:rPr>
        <w:t xml:space="preserve">industry </w:t>
      </w:r>
      <w:r w:rsidR="00B80869" w:rsidRPr="1553EFF0">
        <w:rPr>
          <w:lang w:val="en-GB"/>
        </w:rPr>
        <w:t xml:space="preserve">REACH </w:t>
      </w:r>
      <w:r w:rsidR="6379EA94" w:rsidRPr="1553EFF0">
        <w:rPr>
          <w:lang w:val="en-GB"/>
        </w:rPr>
        <w:t xml:space="preserve">benzene </w:t>
      </w:r>
      <w:r w:rsidR="00B80869" w:rsidRPr="1553EFF0">
        <w:rPr>
          <w:lang w:val="en-GB"/>
        </w:rPr>
        <w:t>dossier for EU joint registrants</w:t>
      </w:r>
      <w:r w:rsidR="1C259256" w:rsidRPr="1553EFF0">
        <w:rPr>
          <w:lang w:val="en-GB"/>
        </w:rPr>
        <w:t>,</w:t>
      </w:r>
      <w:r w:rsidR="00B80869" w:rsidRPr="1553EFF0">
        <w:rPr>
          <w:lang w:val="en-GB"/>
        </w:rPr>
        <w:t xml:space="preserve"> made an independent evaluation </w:t>
      </w:r>
      <w:r w:rsidR="05E2C4DE" w:rsidRPr="1553EFF0">
        <w:rPr>
          <w:lang w:val="en-GB"/>
        </w:rPr>
        <w:t xml:space="preserve">that supported </w:t>
      </w:r>
      <w:r w:rsidR="00B80869" w:rsidRPr="1553EFF0">
        <w:rPr>
          <w:lang w:val="en-GB"/>
        </w:rPr>
        <w:t>a</w:t>
      </w:r>
      <w:r w:rsidR="2435B8CF" w:rsidRPr="1553EFF0">
        <w:rPr>
          <w:lang w:val="en-GB"/>
        </w:rPr>
        <w:t xml:space="preserve"> </w:t>
      </w:r>
      <w:r w:rsidR="00B80869" w:rsidRPr="1553EFF0">
        <w:rPr>
          <w:lang w:val="en-GB"/>
        </w:rPr>
        <w:t>0.25 ppm</w:t>
      </w:r>
      <w:r w:rsidR="001A1CDF" w:rsidRPr="1553EFF0">
        <w:rPr>
          <w:lang w:val="en-GB"/>
        </w:rPr>
        <w:t xml:space="preserve"> </w:t>
      </w:r>
      <w:r w:rsidR="004D1FF9" w:rsidRPr="1553EFF0">
        <w:rPr>
          <w:lang w:val="en-GB"/>
        </w:rPr>
        <w:t xml:space="preserve">8h TWA </w:t>
      </w:r>
      <w:r w:rsidR="001A1CDF" w:rsidRPr="1553EFF0">
        <w:rPr>
          <w:lang w:val="en-GB"/>
        </w:rPr>
        <w:t>OEL</w:t>
      </w:r>
      <w:r w:rsidR="0AF9F325" w:rsidRPr="1553EFF0">
        <w:rPr>
          <w:lang w:val="en-GB"/>
        </w:rPr>
        <w:t xml:space="preserve">. </w:t>
      </w:r>
      <w:r w:rsidR="004D1FF9" w:rsidRPr="1553EFF0">
        <w:rPr>
          <w:lang w:val="en-GB"/>
        </w:rPr>
        <w:t>Both RAC and LOA proposals</w:t>
      </w:r>
      <w:r w:rsidR="001A1CDF" w:rsidRPr="1553EFF0">
        <w:rPr>
          <w:lang w:val="en-GB"/>
        </w:rPr>
        <w:t xml:space="preserve"> recommend a health-based limit that assumes negligible risk of health effects below the OEL.</w:t>
      </w:r>
      <w:r w:rsidR="00C02D9D" w:rsidRPr="1553EFF0">
        <w:rPr>
          <w:lang w:val="en-GB"/>
        </w:rPr>
        <w:t xml:space="preserve"> However, for benefit cost analysis it is important to define a risk function, not only a safe limit, so risk managers can make informed decisions about </w:t>
      </w:r>
      <w:r w:rsidR="004D1FF9" w:rsidRPr="1553EFF0">
        <w:rPr>
          <w:lang w:val="en-GB"/>
        </w:rPr>
        <w:t>the balance of societal, environmental, health, and economic benefits and costs for implementing a limit</w:t>
      </w:r>
      <w:r w:rsidR="006D6D66" w:rsidRPr="1553EFF0">
        <w:rPr>
          <w:lang w:val="en-GB"/>
        </w:rPr>
        <w:t>.</w:t>
      </w:r>
    </w:p>
    <w:p w14:paraId="476BF3A9" w14:textId="7FC1ED95" w:rsidR="002D1BCE" w:rsidRPr="00CD48FA" w:rsidRDefault="002D1BCE" w:rsidP="00230BCD">
      <w:pPr>
        <w:rPr>
          <w:lang w:val="en-GB"/>
        </w:rPr>
      </w:pPr>
      <w:r w:rsidRPr="1553EFF0">
        <w:rPr>
          <w:lang w:val="en-GB"/>
        </w:rPr>
        <w:t>Dose</w:t>
      </w:r>
      <w:r w:rsidR="005F2372" w:rsidRPr="1553EFF0">
        <w:rPr>
          <w:lang w:val="en-GB"/>
        </w:rPr>
        <w:t>-</w:t>
      </w:r>
      <w:r w:rsidRPr="1553EFF0">
        <w:rPr>
          <w:lang w:val="en-GB"/>
        </w:rPr>
        <w:t xml:space="preserve">response models commonly used in risk assessment </w:t>
      </w:r>
      <w:r w:rsidR="00331D2F" w:rsidRPr="1553EFF0">
        <w:rPr>
          <w:lang w:val="en-GB"/>
        </w:rPr>
        <w:t xml:space="preserve">to estimate effects </w:t>
      </w:r>
      <w:r w:rsidRPr="1553EFF0">
        <w:rPr>
          <w:lang w:val="en-GB"/>
        </w:rPr>
        <w:t xml:space="preserve">are linear or curvilinear. The selected model frequently depends on the information </w:t>
      </w:r>
      <w:r w:rsidR="00331D2F" w:rsidRPr="1553EFF0">
        <w:rPr>
          <w:lang w:val="en-GB"/>
        </w:rPr>
        <w:t xml:space="preserve">available </w:t>
      </w:r>
      <w:r w:rsidRPr="1553EFF0">
        <w:rPr>
          <w:lang w:val="en-GB"/>
        </w:rPr>
        <w:t>for identifying potential regions of the dose response where increasing exposure has little effect on response (</w:t>
      </w:r>
      <w:r w:rsidRPr="1553EFF0">
        <w:rPr>
          <w:i/>
          <w:iCs/>
          <w:lang w:val="en-GB"/>
        </w:rPr>
        <w:t>i.e.,</w:t>
      </w:r>
      <w:r w:rsidRPr="1553EFF0">
        <w:rPr>
          <w:lang w:val="en-GB"/>
        </w:rPr>
        <w:t xml:space="preserve"> </w:t>
      </w:r>
      <w:r w:rsidR="00FD3C6A" w:rsidRPr="1553EFF0">
        <w:rPr>
          <w:lang w:val="en-GB"/>
        </w:rPr>
        <w:t xml:space="preserve">exposures above the maximum effect size [plateau] and </w:t>
      </w:r>
      <w:r w:rsidRPr="1553EFF0">
        <w:rPr>
          <w:lang w:val="en-GB"/>
        </w:rPr>
        <w:t xml:space="preserve">below the </w:t>
      </w:r>
      <w:r w:rsidR="00FD3C6A" w:rsidRPr="1553EFF0">
        <w:rPr>
          <w:lang w:val="en-GB"/>
        </w:rPr>
        <w:t>minimal effect size [</w:t>
      </w:r>
      <w:r w:rsidRPr="1553EFF0">
        <w:rPr>
          <w:lang w:val="en-GB"/>
        </w:rPr>
        <w:t>threshold</w:t>
      </w:r>
      <w:r w:rsidR="00FD3C6A" w:rsidRPr="1553EFF0">
        <w:rPr>
          <w:lang w:val="en-GB"/>
        </w:rPr>
        <w:t>]</w:t>
      </w:r>
      <w:r w:rsidRPr="1553EFF0">
        <w:rPr>
          <w:lang w:val="en-GB"/>
        </w:rPr>
        <w:t xml:space="preserve">). In occupational epidemiology it is rare to have information to identify </w:t>
      </w:r>
      <w:r w:rsidR="00FD3C6A" w:rsidRPr="1553EFF0">
        <w:rPr>
          <w:lang w:val="en-GB"/>
        </w:rPr>
        <w:t>plateaus</w:t>
      </w:r>
      <w:r w:rsidRPr="1553EFF0">
        <w:rPr>
          <w:lang w:val="en-GB"/>
        </w:rPr>
        <w:t xml:space="preserve">, and thresholds are </w:t>
      </w:r>
      <w:r w:rsidR="0067236B" w:rsidRPr="1553EFF0">
        <w:rPr>
          <w:lang w:val="en-GB"/>
        </w:rPr>
        <w:t>frequently</w:t>
      </w:r>
      <w:r w:rsidRPr="1553EFF0">
        <w:rPr>
          <w:lang w:val="en-GB"/>
        </w:rPr>
        <w:t xml:space="preserve"> debate</w:t>
      </w:r>
      <w:r w:rsidR="0067236B" w:rsidRPr="1553EFF0">
        <w:rPr>
          <w:lang w:val="en-GB"/>
        </w:rPr>
        <w:t>d</w:t>
      </w:r>
      <w:r w:rsidRPr="1553EFF0">
        <w:rPr>
          <w:lang w:val="en-GB"/>
        </w:rPr>
        <w:t xml:space="preserve"> </w:t>
      </w:r>
      <w:r w:rsidR="0067236B" w:rsidRPr="1553EFF0">
        <w:rPr>
          <w:lang w:val="en-GB"/>
        </w:rPr>
        <w:t>due</w:t>
      </w:r>
      <w:r w:rsidRPr="1553EFF0">
        <w:rPr>
          <w:lang w:val="en-GB"/>
        </w:rPr>
        <w:t xml:space="preserve"> to limitations of statistical inference </w:t>
      </w:r>
      <w:r w:rsidR="3E0B17C5" w:rsidRPr="1553EFF0">
        <w:rPr>
          <w:lang w:val="en-GB"/>
        </w:rPr>
        <w:t xml:space="preserve">for vanishingly small effect sizes. </w:t>
      </w:r>
      <w:r w:rsidR="00331D2F" w:rsidRPr="1553EFF0">
        <w:rPr>
          <w:lang w:val="en-GB"/>
        </w:rPr>
        <w:t xml:space="preserve">. As a consequence, it is common to see </w:t>
      </w:r>
      <w:r w:rsidR="00882DBE" w:rsidRPr="1553EFF0">
        <w:rPr>
          <w:lang w:val="en-GB"/>
        </w:rPr>
        <w:t>linear-no-threshold (LNT)</w:t>
      </w:r>
      <w:r w:rsidR="00331D2F" w:rsidRPr="1553EFF0">
        <w:rPr>
          <w:lang w:val="en-GB"/>
        </w:rPr>
        <w:t xml:space="preserve"> models</w:t>
      </w:r>
      <w:r w:rsidR="00B06298" w:rsidRPr="1553EFF0">
        <w:rPr>
          <w:lang w:val="en-GB"/>
        </w:rPr>
        <w:t xml:space="preserve"> </w:t>
      </w:r>
      <w:r w:rsidR="00331D2F" w:rsidRPr="1553EFF0">
        <w:rPr>
          <w:lang w:val="en-GB"/>
        </w:rPr>
        <w:t xml:space="preserve">applied in estimating </w:t>
      </w:r>
      <w:r w:rsidR="00424E9F" w:rsidRPr="1553EFF0">
        <w:rPr>
          <w:lang w:val="en-GB"/>
        </w:rPr>
        <w:t>risk</w:t>
      </w:r>
      <w:r w:rsidR="00B06298" w:rsidRPr="1553EFF0">
        <w:rPr>
          <w:lang w:val="en-GB"/>
        </w:rPr>
        <w:t xml:space="preserve"> (</w:t>
      </w:r>
      <w:r w:rsidR="00B06298" w:rsidRPr="1553EFF0">
        <w:rPr>
          <w:i/>
          <w:iCs/>
          <w:lang w:val="en-GB"/>
        </w:rPr>
        <w:t>i.e.</w:t>
      </w:r>
      <w:r w:rsidR="00B06298" w:rsidRPr="1553EFF0">
        <w:rPr>
          <w:lang w:val="en-GB"/>
        </w:rPr>
        <w:t>, zero exposure = zero risk)</w:t>
      </w:r>
      <w:r w:rsidR="00331D2F" w:rsidRPr="1553EFF0">
        <w:rPr>
          <w:lang w:val="en-GB"/>
        </w:rPr>
        <w:t>, because in the context of risk assessment they have frequently been thought unlikely to underestimate risk. Implicit in that judgment is that they become likely to overestimate risk if the true response has a threshold.</w:t>
      </w:r>
      <w:r w:rsidR="00E3418E" w:rsidRPr="1553EFF0">
        <w:rPr>
          <w:lang w:val="en-GB"/>
        </w:rPr>
        <w:t xml:space="preserve"> The appropriateness in general of such models has been reviewed elsewhere </w:t>
      </w:r>
      <w:r w:rsidRPr="1553EFF0">
        <w:rPr>
          <w:lang w:val="en-GB"/>
        </w:rPr>
        <w:fldChar w:fldCharType="begin"/>
      </w:r>
      <w:r w:rsidRPr="1553EFF0">
        <w:rPr>
          <w:lang w:val="en-GB"/>
        </w:rPr>
        <w:instrText xml:space="preserve"> ADDIN EN.CITE &lt;EndNote&gt;&lt;Cite&gt;&lt;Author&gt;Calabrese&lt;/Author&gt;&lt;Year&gt;2019&lt;/Year&gt;&lt;RecNum&gt;1149&lt;/RecNum&gt;&lt;DisplayText&gt;(Calabrese and Golden, 2019)&lt;/DisplayText&gt;&lt;record&gt;&lt;rec-number&gt;1149&lt;/rec-number&gt;&lt;foreign-keys&gt;&lt;key app="EN" db-id="0d0929f959rse9ex25rp09za5avf0ept9spf" timestamp="1588019860"&gt;1149&lt;/key&gt;&lt;/foreign-keys&gt;&lt;ref-type name="Book"&gt;6&lt;/ref-type&gt;&lt;contributors&gt;&lt;authors&gt;&lt;author&gt;Calabrese, Edward&lt;/author&gt;&lt;author&gt;Golden, Robert&lt;/author&gt;&lt;/authors&gt;&lt;/contributors&gt;&lt;titles&gt;&lt;title&gt;Assessing the Scientific Basis of the Linear No Threshold (LNT) Model with Threshold Models for Cancer Risk Assessment of Radiation and Chemicals&lt;/title&gt;&lt;secondary-title&gt;Chemico-Biological Interactions&lt;/secondary-title&gt;&lt;/titles&gt;&lt;periodical&gt;&lt;full-title&gt;Chem Biol Interact&lt;/full-title&gt;&lt;abbr-1&gt;Chemico-biological interactions&lt;/abbr-1&gt;&lt;/periodical&gt;&lt;volume&gt;301&lt;/volume&gt;&lt;dates&gt;&lt;year&gt;2019&lt;/year&gt;&lt;/dates&gt;&lt;urls&gt;&lt;/urls&gt;&lt;/record&gt;&lt;/Cite&gt;&lt;/EndNote&gt;</w:instrText>
      </w:r>
      <w:r w:rsidRPr="1553EFF0">
        <w:rPr>
          <w:lang w:val="en-GB"/>
        </w:rPr>
        <w:fldChar w:fldCharType="separate"/>
      </w:r>
      <w:r w:rsidR="004653BE" w:rsidRPr="1553EFF0">
        <w:rPr>
          <w:noProof/>
          <w:lang w:val="en-GB"/>
        </w:rPr>
        <w:t>(</w:t>
      </w:r>
      <w:hyperlink w:anchor="_ENREF_6" w:tooltip="Calabrese, 2019 #1149" w:history="1">
        <w:r w:rsidR="004C59A6" w:rsidRPr="1553EFF0">
          <w:rPr>
            <w:noProof/>
            <w:lang w:val="en-GB"/>
          </w:rPr>
          <w:t>Calabrese and Golden, 2019</w:t>
        </w:r>
      </w:hyperlink>
      <w:r w:rsidR="004653BE" w:rsidRPr="1553EFF0">
        <w:rPr>
          <w:noProof/>
          <w:lang w:val="en-GB"/>
        </w:rPr>
        <w:t>)</w:t>
      </w:r>
      <w:r w:rsidRPr="1553EFF0">
        <w:rPr>
          <w:lang w:val="en-GB"/>
        </w:rPr>
        <w:fldChar w:fldCharType="end"/>
      </w:r>
      <w:r w:rsidR="00E3418E" w:rsidRPr="1553EFF0">
        <w:rPr>
          <w:lang w:val="en-GB"/>
        </w:rPr>
        <w:t>..</w:t>
      </w:r>
      <w:bookmarkStart w:id="0" w:name="_Hlk38983811"/>
      <w:bookmarkEnd w:id="0"/>
    </w:p>
    <w:p w14:paraId="7F586073" w14:textId="4E99B445" w:rsidR="0097208C" w:rsidRPr="00CD48FA" w:rsidRDefault="0097208C" w:rsidP="00823E2B">
      <w:pPr>
        <w:rPr>
          <w:lang w:val="en-GB"/>
        </w:rPr>
      </w:pPr>
      <w:r w:rsidRPr="1553EFF0">
        <w:rPr>
          <w:lang w:val="en-GB"/>
        </w:rPr>
        <w:t xml:space="preserve">Some entities have considered alternatives to </w:t>
      </w:r>
      <w:r w:rsidR="00AA6B7E" w:rsidRPr="1553EFF0">
        <w:rPr>
          <w:lang w:val="en-GB"/>
        </w:rPr>
        <w:t>LNT</w:t>
      </w:r>
      <w:r w:rsidR="00B06298" w:rsidRPr="1553EFF0">
        <w:rPr>
          <w:lang w:val="en-GB"/>
        </w:rPr>
        <w:t xml:space="preserve"> model</w:t>
      </w:r>
      <w:r w:rsidR="00BD0B65" w:rsidRPr="1553EFF0">
        <w:rPr>
          <w:lang w:val="en-GB"/>
        </w:rPr>
        <w:t>s for benzene</w:t>
      </w:r>
      <w:r w:rsidR="00B06298" w:rsidRPr="1553EFF0">
        <w:rPr>
          <w:lang w:val="en-GB"/>
        </w:rPr>
        <w:t xml:space="preserve"> </w:t>
      </w:r>
      <w:r w:rsidRPr="1553EFF0">
        <w:rPr>
          <w:lang w:val="en-GB"/>
        </w:rPr>
        <w:fldChar w:fldCharType="begin"/>
      </w:r>
      <w:r w:rsidR="004C6879">
        <w:rPr>
          <w:lang w:val="en-GB"/>
        </w:rPr>
        <w:instrText xml:space="preserve"> ADDIN EN.CITE &lt;EndNote&gt;&lt;Cite&gt;&lt;Author&gt;AGS&lt;/Author&gt;&lt;Year&gt;2012&lt;/Year&gt;&lt;RecNum&gt;1092&lt;/RecNum&gt;&lt;DisplayText&gt;(AGS, 2012; Dutch Expert Committee on Occupational Safety, 2014)&lt;/DisplayText&gt;&lt;record&gt;&lt;rec-number&gt;1092&lt;/rec-number&gt;&lt;foreign-keys&gt;&lt;key app="EN" db-id="0d0929f959rse9ex25rp09za5avf0ept9spf" timestamp="1580849538"&gt;1092&lt;/key&gt;&lt;/foreign-keys&gt;&lt;ref-type name="Government Document"&gt;46&lt;/ref-type&gt;&lt;contributors&gt;&lt;authors&gt;&lt;author&gt;AGS&lt;/author&gt;&lt;/authors&gt;&lt;/contributors&gt;&lt;titles&gt;&lt;title&gt;Begründung zu Benzol in BekGS&lt;/title&gt;&lt;/titles&gt;&lt;dates&gt;&lt;year&gt;2012&lt;/year&gt;&lt;/dates&gt;&lt;isbn&gt;910&lt;/isbn&gt;&lt;urls&gt;&lt;related-urls&gt;&lt;url&gt;https://www.baua.de/DE/Angebote/Rechtstexte-und-Technische-Regeln/Regelwerk/TRGS/pdf/910/910-benzol.pdf?__blob=publicationFile&amp;amp;v=2&lt;/url&gt;&lt;/related-urls&gt;&lt;/urls&gt;&lt;custom1&gt;Bundesanstalt fur Arbeitsschutz und Arbeitsmedizin&lt;/custom1&gt;&lt;/record&gt;&lt;/Cite&gt;&lt;Cite&gt;&lt;Author&gt;Dutch Expert Committee on Occupational Safety&lt;/Author&gt;&lt;Year&gt;2014&lt;/Year&gt;&lt;RecNum&gt;508&lt;/RecNum&gt;&lt;record&gt;&lt;rec-number&gt;508&lt;/rec-number&gt;&lt;foreign-keys&gt;&lt;key app="EN" db-id="0d0929f959rse9ex25rp09za5avf0ept9spf" timestamp="1492030128"&gt;508&lt;/key&gt;&lt;/foreign-keys&gt;&lt;ref-type name="Report"&gt;27&lt;/ref-type&gt;&lt;contributors&gt;&lt;authors&gt;&lt;author&gt;Dutch Expert Committee on Occupational Safety,&lt;/author&gt;&lt;/authors&gt;&lt;/contributors&gt;&lt;titles&gt;&lt;title&gt;Benzene - Health-based recommended occupational exposure limit&lt;/title&gt;&lt;/titles&gt;&lt;dates&gt;&lt;year&gt;2014&lt;/year&gt;&lt;/dates&gt;&lt;publisher&gt;Health Council of the Netherlands,&lt;/publisher&gt;&lt;isbn&gt;2014/03&lt;/isbn&gt;&lt;accession-num&gt;ISBN 978-90-5549-988-5&lt;/accession-num&gt;&lt;urls&gt;&lt;/urls&gt;&lt;/record&gt;&lt;/Cite&gt;&lt;/EndNote&gt;</w:instrText>
      </w:r>
      <w:r w:rsidRPr="1553EFF0">
        <w:rPr>
          <w:lang w:val="en-GB"/>
        </w:rPr>
        <w:fldChar w:fldCharType="separate"/>
      </w:r>
      <w:r w:rsidR="004C6879">
        <w:rPr>
          <w:noProof/>
          <w:lang w:val="en-GB"/>
        </w:rPr>
        <w:t>(</w:t>
      </w:r>
      <w:hyperlink w:anchor="_ENREF_3" w:tooltip="AGS, 2012 #1092" w:history="1">
        <w:r w:rsidR="004C59A6">
          <w:rPr>
            <w:noProof/>
            <w:lang w:val="en-GB"/>
          </w:rPr>
          <w:t>AGS, 2012</w:t>
        </w:r>
      </w:hyperlink>
      <w:r w:rsidR="004C6879">
        <w:rPr>
          <w:noProof/>
          <w:lang w:val="en-GB"/>
        </w:rPr>
        <w:t xml:space="preserve">; </w:t>
      </w:r>
      <w:hyperlink w:anchor="_ENREF_13" w:tooltip="Dutch Expert Committee on Occupational Safety, 2014 #508" w:history="1">
        <w:r w:rsidR="004C59A6">
          <w:rPr>
            <w:noProof/>
            <w:lang w:val="en-GB"/>
          </w:rPr>
          <w:t>Dutch Expert Committee on Occupational Safety, 2014</w:t>
        </w:r>
      </w:hyperlink>
      <w:r w:rsidR="004C6879">
        <w:rPr>
          <w:noProof/>
          <w:lang w:val="en-GB"/>
        </w:rPr>
        <w:t>)</w:t>
      </w:r>
      <w:r w:rsidRPr="1553EFF0">
        <w:rPr>
          <w:lang w:val="en-GB"/>
        </w:rPr>
        <w:fldChar w:fldCharType="end"/>
      </w:r>
      <w:r w:rsidR="00B06298" w:rsidRPr="1553EFF0">
        <w:rPr>
          <w:lang w:val="en-GB"/>
        </w:rPr>
        <w:t xml:space="preserve">. </w:t>
      </w:r>
      <w:r w:rsidR="0031045D" w:rsidRPr="1553EFF0">
        <w:rPr>
          <w:lang w:val="en-GB"/>
        </w:rPr>
        <w:t>S</w:t>
      </w:r>
      <w:r w:rsidR="00B06298" w:rsidRPr="1553EFF0">
        <w:rPr>
          <w:lang w:val="en-GB"/>
        </w:rPr>
        <w:t xml:space="preserve">pline models are widely used </w:t>
      </w:r>
      <w:r w:rsidR="0031045D" w:rsidRPr="1553EFF0">
        <w:rPr>
          <w:lang w:val="en-GB"/>
        </w:rPr>
        <w:t xml:space="preserve">alternatives to simple linear models in </w:t>
      </w:r>
      <w:r w:rsidR="00B06298" w:rsidRPr="1553EFF0">
        <w:rPr>
          <w:lang w:val="en-GB"/>
        </w:rPr>
        <w:t>regression</w:t>
      </w:r>
      <w:r w:rsidR="0031045D" w:rsidRPr="1553EFF0">
        <w:rPr>
          <w:lang w:val="en-GB"/>
        </w:rPr>
        <w:t xml:space="preserve"> to better fit and predict</w:t>
      </w:r>
      <w:r w:rsidR="00B06298" w:rsidRPr="1553EFF0">
        <w:rPr>
          <w:lang w:val="en-GB"/>
        </w:rPr>
        <w:t xml:space="preserve"> responses.</w:t>
      </w:r>
      <w:r w:rsidR="0031045D" w:rsidRPr="1553EFF0">
        <w:rPr>
          <w:lang w:val="en-GB"/>
        </w:rPr>
        <w:t xml:space="preserve"> T</w:t>
      </w:r>
      <w:r w:rsidR="00CD48FA" w:rsidRPr="1553EFF0">
        <w:rPr>
          <w:lang w:val="en-GB"/>
        </w:rPr>
        <w:t>he s</w:t>
      </w:r>
      <w:r w:rsidR="00823E2B" w:rsidRPr="1553EFF0">
        <w:rPr>
          <w:lang w:val="en-GB"/>
        </w:rPr>
        <w:t xml:space="preserve">tatistician defines </w:t>
      </w:r>
      <w:r w:rsidR="00CD48FA" w:rsidRPr="1553EFF0">
        <w:rPr>
          <w:lang w:val="en-GB"/>
        </w:rPr>
        <w:t>knots to introduce flexibility</w:t>
      </w:r>
      <w:r w:rsidR="0031045D" w:rsidRPr="1553EFF0">
        <w:rPr>
          <w:lang w:val="en-GB"/>
        </w:rPr>
        <w:t xml:space="preserve"> </w:t>
      </w:r>
      <w:r w:rsidR="00AA7851" w:rsidRPr="1553EFF0">
        <w:rPr>
          <w:lang w:val="en-GB"/>
        </w:rPr>
        <w:t xml:space="preserve">to </w:t>
      </w:r>
      <w:r w:rsidR="00424E9F" w:rsidRPr="1553EFF0">
        <w:rPr>
          <w:lang w:val="en-GB"/>
        </w:rPr>
        <w:t>the shape of the regression</w:t>
      </w:r>
      <w:r w:rsidR="0031045D" w:rsidRPr="1553EFF0">
        <w:rPr>
          <w:lang w:val="en-GB"/>
        </w:rPr>
        <w:t xml:space="preserve"> model.</w:t>
      </w:r>
      <w:r w:rsidR="00823E2B" w:rsidRPr="1553EFF0">
        <w:rPr>
          <w:lang w:val="en-GB"/>
        </w:rPr>
        <w:t xml:space="preserve"> Stated simplistically, knots enable the statistical model to have multiple joined segments, with each knot being a point of change in the shape of the response</w:t>
      </w:r>
      <w:r w:rsidR="00BD0B65" w:rsidRPr="1553EFF0">
        <w:rPr>
          <w:lang w:val="en-GB"/>
        </w:rPr>
        <w:t xml:space="preserve"> and each segment having a different slope</w:t>
      </w:r>
      <w:r w:rsidR="00823E2B" w:rsidRPr="1553EFF0">
        <w:rPr>
          <w:lang w:val="en-GB"/>
        </w:rPr>
        <w:t>.</w:t>
      </w:r>
      <w:r w:rsidR="0031045D" w:rsidRPr="1553EFF0">
        <w:rPr>
          <w:lang w:val="en-GB"/>
        </w:rPr>
        <w:t xml:space="preserve"> </w:t>
      </w:r>
      <w:r w:rsidR="00823E2B" w:rsidRPr="1553EFF0">
        <w:rPr>
          <w:lang w:val="en-GB"/>
        </w:rPr>
        <w:t>However,</w:t>
      </w:r>
      <w:r w:rsidR="00CD48FA" w:rsidRPr="1553EFF0">
        <w:rPr>
          <w:lang w:val="en-GB"/>
        </w:rPr>
        <w:t xml:space="preserve"> the choice</w:t>
      </w:r>
      <w:r w:rsidR="0031045D" w:rsidRPr="1553EFF0">
        <w:rPr>
          <w:lang w:val="en-GB"/>
        </w:rPr>
        <w:t>s</w:t>
      </w:r>
      <w:r w:rsidR="00CD48FA" w:rsidRPr="1553EFF0">
        <w:rPr>
          <w:lang w:val="en-GB"/>
        </w:rPr>
        <w:t xml:space="preserve"> </w:t>
      </w:r>
      <w:r w:rsidR="0031045D" w:rsidRPr="1553EFF0">
        <w:rPr>
          <w:lang w:val="en-GB"/>
        </w:rPr>
        <w:t>for</w:t>
      </w:r>
      <w:r w:rsidR="00823E2B" w:rsidRPr="1553EFF0">
        <w:rPr>
          <w:lang w:val="en-GB"/>
        </w:rPr>
        <w:t xml:space="preserve"> number of knots </w:t>
      </w:r>
      <w:r w:rsidR="00CD48FA" w:rsidRPr="1553EFF0">
        <w:rPr>
          <w:lang w:val="en-GB"/>
        </w:rPr>
        <w:t xml:space="preserve">and </w:t>
      </w:r>
      <w:r w:rsidR="00C251C5" w:rsidRPr="1553EFF0">
        <w:rPr>
          <w:lang w:val="en-GB"/>
        </w:rPr>
        <w:t xml:space="preserve">their </w:t>
      </w:r>
      <w:r w:rsidR="00CD48FA" w:rsidRPr="1553EFF0">
        <w:rPr>
          <w:lang w:val="en-GB"/>
        </w:rPr>
        <w:t xml:space="preserve">placement </w:t>
      </w:r>
      <w:r w:rsidR="00C76A4E" w:rsidRPr="1553EFF0">
        <w:rPr>
          <w:lang w:val="en-GB"/>
        </w:rPr>
        <w:t>are</w:t>
      </w:r>
      <w:r w:rsidR="00CD48FA" w:rsidRPr="1553EFF0">
        <w:rPr>
          <w:lang w:val="en-GB"/>
        </w:rPr>
        <w:t xml:space="preserve"> not always simple, especially with datasets limited to relatively few observations (</w:t>
      </w:r>
      <w:r w:rsidR="00CD48FA" w:rsidRPr="1553EFF0">
        <w:rPr>
          <w:i/>
          <w:iCs/>
          <w:lang w:val="en-GB"/>
        </w:rPr>
        <w:t>e.g</w:t>
      </w:r>
      <w:r w:rsidR="0031045D" w:rsidRPr="1553EFF0">
        <w:rPr>
          <w:i/>
          <w:iCs/>
          <w:lang w:val="en-GB"/>
        </w:rPr>
        <w:t>.</w:t>
      </w:r>
      <w:r w:rsidR="00CD48FA" w:rsidRPr="1553EFF0">
        <w:rPr>
          <w:lang w:val="en-GB"/>
        </w:rPr>
        <w:t xml:space="preserve">, &lt;1000). </w:t>
      </w:r>
      <w:r w:rsidR="0031045D" w:rsidRPr="1553EFF0">
        <w:rPr>
          <w:lang w:val="en-GB"/>
        </w:rPr>
        <w:t>L</w:t>
      </w:r>
      <w:r w:rsidR="00CD48FA" w:rsidRPr="1553EFF0">
        <w:rPr>
          <w:lang w:val="en-GB"/>
        </w:rPr>
        <w:t xml:space="preserve">imited data set sizes </w:t>
      </w:r>
      <w:r w:rsidR="00BD0B65" w:rsidRPr="1553EFF0">
        <w:rPr>
          <w:lang w:val="en-GB"/>
        </w:rPr>
        <w:t>make defin</w:t>
      </w:r>
      <w:r w:rsidR="00424E9F" w:rsidRPr="1553EFF0">
        <w:rPr>
          <w:lang w:val="en-GB"/>
        </w:rPr>
        <w:t>ing</w:t>
      </w:r>
      <w:r w:rsidR="00BD0B65" w:rsidRPr="1553EFF0">
        <w:rPr>
          <w:lang w:val="en-GB"/>
        </w:rPr>
        <w:t xml:space="preserve"> </w:t>
      </w:r>
      <w:r w:rsidR="0031045D" w:rsidRPr="1553EFF0">
        <w:rPr>
          <w:lang w:val="en-GB"/>
        </w:rPr>
        <w:t xml:space="preserve">spline models for benzene responses </w:t>
      </w:r>
      <w:r w:rsidR="00CD48FA" w:rsidRPr="1553EFF0">
        <w:rPr>
          <w:lang w:val="en-GB"/>
        </w:rPr>
        <w:t>challeng</w:t>
      </w:r>
      <w:r w:rsidR="0031045D" w:rsidRPr="1553EFF0">
        <w:rPr>
          <w:lang w:val="en-GB"/>
        </w:rPr>
        <w:t>ing</w:t>
      </w:r>
      <w:r w:rsidR="00BD0B65" w:rsidRPr="1553EFF0">
        <w:rPr>
          <w:lang w:val="en-GB"/>
        </w:rPr>
        <w:t>,</w:t>
      </w:r>
      <w:r w:rsidR="00CD48FA" w:rsidRPr="1553EFF0">
        <w:rPr>
          <w:lang w:val="en-GB"/>
        </w:rPr>
        <w:t xml:space="preserve"> as </w:t>
      </w:r>
      <w:r w:rsidR="0031045D" w:rsidRPr="1553EFF0">
        <w:rPr>
          <w:lang w:val="en-GB"/>
        </w:rPr>
        <w:t>available data are often</w:t>
      </w:r>
      <w:r w:rsidR="00CD48FA" w:rsidRPr="1553EFF0">
        <w:rPr>
          <w:lang w:val="en-GB"/>
        </w:rPr>
        <w:t xml:space="preserve"> limited to tens of cases of </w:t>
      </w:r>
      <w:r w:rsidR="0C5090F1" w:rsidRPr="1553EFF0">
        <w:rPr>
          <w:lang w:val="en-GB"/>
        </w:rPr>
        <w:t>leukaem</w:t>
      </w:r>
      <w:r w:rsidR="00CD48FA" w:rsidRPr="1553EFF0">
        <w:rPr>
          <w:lang w:val="en-GB"/>
        </w:rPr>
        <w:t>ia</w:t>
      </w:r>
      <w:r w:rsidR="0031045D" w:rsidRPr="1553EFF0">
        <w:rPr>
          <w:lang w:val="en-GB"/>
        </w:rPr>
        <w:t xml:space="preserve"> </w:t>
      </w:r>
      <w:r w:rsidR="00823E2B" w:rsidRPr="1553EFF0">
        <w:rPr>
          <w:lang w:val="en-GB"/>
        </w:rPr>
        <w:t>with</w:t>
      </w:r>
      <w:r w:rsidR="0031045D" w:rsidRPr="1553EFF0">
        <w:rPr>
          <w:lang w:val="en-GB"/>
        </w:rPr>
        <w:t xml:space="preserve"> few observations </w:t>
      </w:r>
      <w:r w:rsidR="00823E2B" w:rsidRPr="1553EFF0">
        <w:rPr>
          <w:lang w:val="en-GB"/>
        </w:rPr>
        <w:t>to inform the placement of knot</w:t>
      </w:r>
      <w:r w:rsidR="00CD48FA" w:rsidRPr="1553EFF0">
        <w:rPr>
          <w:lang w:val="en-GB"/>
        </w:rPr>
        <w:t>.</w:t>
      </w:r>
      <w:r w:rsidR="00BD0B65" w:rsidRPr="1553EFF0">
        <w:rPr>
          <w:lang w:val="en-GB"/>
        </w:rPr>
        <w:t xml:space="preserve"> </w:t>
      </w:r>
      <w:r w:rsidR="006D6D66" w:rsidRPr="1553EFF0">
        <w:rPr>
          <w:lang w:val="en-GB"/>
        </w:rPr>
        <w:t xml:space="preserve">While not a spline approach, the concept of a kinked function may also have utility. </w:t>
      </w:r>
      <w:r w:rsidR="00BD0B65" w:rsidRPr="1553EFF0">
        <w:rPr>
          <w:lang w:val="en-GB"/>
        </w:rPr>
        <w:t xml:space="preserve">The </w:t>
      </w:r>
      <w:r w:rsidR="00B83480" w:rsidRPr="1553EFF0">
        <w:rPr>
          <w:lang w:val="en-GB"/>
        </w:rPr>
        <w:t>AGS</w:t>
      </w:r>
      <w:r w:rsidR="00823E2B" w:rsidRPr="1553EFF0">
        <w:rPr>
          <w:lang w:val="en-GB"/>
        </w:rPr>
        <w:t xml:space="preserve"> opinion </w:t>
      </w:r>
      <w:r w:rsidR="001E3D26" w:rsidRPr="1553EFF0">
        <w:rPr>
          <w:lang w:val="en-GB"/>
        </w:rPr>
        <w:t xml:space="preserve">considered </w:t>
      </w:r>
      <w:r w:rsidR="00823E2B" w:rsidRPr="1553EFF0">
        <w:rPr>
          <w:lang w:val="en-GB"/>
        </w:rPr>
        <w:t>plac</w:t>
      </w:r>
      <w:r w:rsidR="001E3D26" w:rsidRPr="1553EFF0">
        <w:rPr>
          <w:lang w:val="en-GB"/>
        </w:rPr>
        <w:t>ing</w:t>
      </w:r>
      <w:r w:rsidR="00823E2B" w:rsidRPr="1553EFF0">
        <w:rPr>
          <w:lang w:val="en-GB"/>
        </w:rPr>
        <w:t xml:space="preserve"> a </w:t>
      </w:r>
      <w:r w:rsidR="00CA3B1E" w:rsidRPr="1553EFF0">
        <w:rPr>
          <w:lang w:val="en-GB"/>
        </w:rPr>
        <w:t>“kink”</w:t>
      </w:r>
      <w:r w:rsidR="00823E2B" w:rsidRPr="1553EFF0">
        <w:rPr>
          <w:lang w:val="en-GB"/>
        </w:rPr>
        <w:t xml:space="preserve"> at </w:t>
      </w:r>
      <w:r w:rsidR="001E3D26" w:rsidRPr="1553EFF0">
        <w:rPr>
          <w:lang w:val="en-GB"/>
        </w:rPr>
        <w:t>0.42 ppm based on the 9</w:t>
      </w:r>
      <w:r w:rsidR="00BD0B65" w:rsidRPr="1553EFF0">
        <w:rPr>
          <w:lang w:val="en-GB"/>
        </w:rPr>
        <w:t>5</w:t>
      </w:r>
      <w:r w:rsidR="001E3D26" w:rsidRPr="1553EFF0">
        <w:rPr>
          <w:vertAlign w:val="superscript"/>
          <w:lang w:val="en-GB"/>
        </w:rPr>
        <w:t>th</w:t>
      </w:r>
      <w:r w:rsidR="001E3D26" w:rsidRPr="1553EFF0">
        <w:rPr>
          <w:lang w:val="en-GB"/>
        </w:rPr>
        <w:t xml:space="preserve"> % lower limit benchmark dose </w:t>
      </w:r>
      <w:r w:rsidR="00BD0B65" w:rsidRPr="1553EFF0">
        <w:rPr>
          <w:lang w:val="en-GB"/>
        </w:rPr>
        <w:t>hematotoxicity</w:t>
      </w:r>
      <w:r w:rsidR="00CA176E" w:rsidRPr="1553EFF0">
        <w:rPr>
          <w:lang w:val="en-GB"/>
        </w:rPr>
        <w:t xml:space="preserve">, </w:t>
      </w:r>
      <w:r w:rsidR="00BD0B65" w:rsidRPr="1553EFF0">
        <w:rPr>
          <w:lang w:val="en-GB"/>
        </w:rPr>
        <w:t xml:space="preserve">reasoning that above </w:t>
      </w:r>
      <w:r w:rsidR="00CA3B1E" w:rsidRPr="1553EFF0">
        <w:rPr>
          <w:lang w:val="en-GB"/>
        </w:rPr>
        <w:t>that point</w:t>
      </w:r>
      <w:r w:rsidR="00BD0B65" w:rsidRPr="1553EFF0">
        <w:rPr>
          <w:lang w:val="en-GB"/>
        </w:rPr>
        <w:t xml:space="preserve"> a</w:t>
      </w:r>
      <w:r w:rsidR="00646622" w:rsidRPr="1553EFF0">
        <w:rPr>
          <w:lang w:val="en-GB"/>
        </w:rPr>
        <w:t>n</w:t>
      </w:r>
      <w:r w:rsidR="00BD0B65" w:rsidRPr="1553EFF0">
        <w:rPr>
          <w:lang w:val="en-GB"/>
        </w:rPr>
        <w:t xml:space="preserve"> effect </w:t>
      </w:r>
      <w:r w:rsidR="00646622" w:rsidRPr="1553EFF0">
        <w:rPr>
          <w:lang w:val="en-GB"/>
        </w:rPr>
        <w:t xml:space="preserve">enhancement </w:t>
      </w:r>
      <w:r w:rsidR="00BD0B65" w:rsidRPr="1553EFF0">
        <w:rPr>
          <w:lang w:val="en-GB"/>
        </w:rPr>
        <w:t xml:space="preserve">would likely lead to a higher slope for the risk function. In the end AGS </w:t>
      </w:r>
      <w:r w:rsidR="00CA176E" w:rsidRPr="1553EFF0">
        <w:rPr>
          <w:lang w:val="en-GB"/>
        </w:rPr>
        <w:t xml:space="preserve">decided against using </w:t>
      </w:r>
      <w:r w:rsidR="00BD0B65" w:rsidRPr="1553EFF0">
        <w:rPr>
          <w:lang w:val="en-GB"/>
        </w:rPr>
        <w:t>the resulting sublinear model</w:t>
      </w:r>
      <w:r w:rsidR="00CA176E" w:rsidRPr="1553EFF0">
        <w:rPr>
          <w:lang w:val="en-GB"/>
        </w:rPr>
        <w:t xml:space="preserve"> for a final risk model due to uncertainties related to mechanism and quantification in the selected study</w:t>
      </w:r>
      <w:r w:rsidR="00BD0B65" w:rsidRPr="1553EFF0">
        <w:rPr>
          <w:lang w:val="en-GB"/>
        </w:rPr>
        <w:t xml:space="preserve"> used for </w:t>
      </w:r>
      <w:r w:rsidR="1C83BCBA" w:rsidRPr="1553EFF0">
        <w:rPr>
          <w:lang w:val="en-GB"/>
        </w:rPr>
        <w:t>kink</w:t>
      </w:r>
      <w:r w:rsidR="00BD0B65" w:rsidRPr="1553EFF0">
        <w:rPr>
          <w:lang w:val="en-GB"/>
        </w:rPr>
        <w:t xml:space="preserve"> placement</w:t>
      </w:r>
      <w:r w:rsidR="001E3D26" w:rsidRPr="1553EFF0">
        <w:rPr>
          <w:lang w:val="en-GB"/>
        </w:rPr>
        <w:t>.</w:t>
      </w:r>
      <w:r w:rsidR="00CA176E" w:rsidRPr="1553EFF0">
        <w:rPr>
          <w:lang w:val="en-GB"/>
        </w:rPr>
        <w:t xml:space="preserve"> Nonetheless, an approach that utilizes key events preceding the final adverse outcome to select </w:t>
      </w:r>
      <w:r w:rsidR="00CA3B1E" w:rsidRPr="1553EFF0">
        <w:rPr>
          <w:lang w:val="en-GB"/>
        </w:rPr>
        <w:t>points of change (kinks)</w:t>
      </w:r>
      <w:r w:rsidR="00CA176E" w:rsidRPr="1553EFF0">
        <w:rPr>
          <w:lang w:val="en-GB"/>
        </w:rPr>
        <w:t xml:space="preserve"> in a risk model could allow assessors to incorporate information from multiple studies in a manner that increases confidence in the subsequent risk model, even if the </w:t>
      </w:r>
      <w:r w:rsidR="00424E9F" w:rsidRPr="1553EFF0">
        <w:rPr>
          <w:lang w:val="en-GB"/>
        </w:rPr>
        <w:t>precise</w:t>
      </w:r>
      <w:r w:rsidR="00CA176E" w:rsidRPr="1553EFF0">
        <w:rPr>
          <w:lang w:val="en-GB"/>
        </w:rPr>
        <w:t xml:space="preserve"> risk cannot be observed empirically.</w:t>
      </w:r>
    </w:p>
    <w:p w14:paraId="3FC25784" w14:textId="136491B8" w:rsidR="00331D2F" w:rsidRDefault="00331D2F" w:rsidP="00230BCD">
      <w:pPr>
        <w:rPr>
          <w:lang w:val="en-GB"/>
        </w:rPr>
      </w:pPr>
      <w:r w:rsidRPr="1553EFF0">
        <w:rPr>
          <w:lang w:val="en-GB"/>
        </w:rPr>
        <w:t>In the case of benzene</w:t>
      </w:r>
      <w:r w:rsidR="00424E9F" w:rsidRPr="1553EFF0">
        <w:rPr>
          <w:lang w:val="en-GB"/>
        </w:rPr>
        <w:t>,</w:t>
      </w:r>
      <w:r w:rsidRPr="1553EFF0">
        <w:rPr>
          <w:lang w:val="en-GB"/>
        </w:rPr>
        <w:t xml:space="preserve"> evaluation of </w:t>
      </w:r>
      <w:r w:rsidR="005B236B" w:rsidRPr="1553EFF0">
        <w:rPr>
          <w:lang w:val="en-GB"/>
        </w:rPr>
        <w:t xml:space="preserve">the literature indicates there are biological effects that occur at earlier time, and lower exposures, than </w:t>
      </w:r>
      <w:r w:rsidR="006D6D66" w:rsidRPr="1553EFF0">
        <w:rPr>
          <w:lang w:val="en-GB"/>
        </w:rPr>
        <w:t>AML</w:t>
      </w:r>
      <w:r w:rsidR="005B236B" w:rsidRPr="1553EFF0">
        <w:rPr>
          <w:lang w:val="en-GB"/>
        </w:rPr>
        <w:t xml:space="preserve">. Hematotoxicity and genotoxicity following occupational benzene exposure are reported in multiple independent studies. In the case of hematotoxicity, significant decreases in white blood </w:t>
      </w:r>
      <w:r w:rsidR="00397BBA" w:rsidRPr="1553EFF0">
        <w:rPr>
          <w:lang w:val="en-GB"/>
        </w:rPr>
        <w:t>cell counts</w:t>
      </w:r>
      <w:r w:rsidR="005B236B" w:rsidRPr="1553EFF0">
        <w:rPr>
          <w:lang w:val="en-GB"/>
        </w:rPr>
        <w:t xml:space="preserve"> can be observed within months of </w:t>
      </w:r>
      <w:r w:rsidR="007D081C" w:rsidRPr="1553EFF0">
        <w:rPr>
          <w:lang w:val="en-GB"/>
        </w:rPr>
        <w:t xml:space="preserve">initial </w:t>
      </w:r>
      <w:r w:rsidR="005B236B" w:rsidRPr="1553EFF0">
        <w:rPr>
          <w:lang w:val="en-GB"/>
        </w:rPr>
        <w:t>occupational exposure</w:t>
      </w:r>
      <w:r w:rsidR="007D081C" w:rsidRPr="1553EFF0">
        <w:rPr>
          <w:lang w:val="en-GB"/>
        </w:rPr>
        <w:t xml:space="preserve"> depending on exposure intensity </w:t>
      </w:r>
      <w:r w:rsidRPr="1553EFF0">
        <w:rPr>
          <w:lang w:val="en-GB"/>
        </w:rPr>
        <w:fldChar w:fldCharType="begin"/>
      </w:r>
      <w:r w:rsidRPr="1553EFF0">
        <w:rPr>
          <w:lang w:val="en-GB"/>
        </w:rPr>
        <w:instrText xml:space="preserve"> ADDIN EN.CITE &lt;EndNote&gt;&lt;Cite&gt;&lt;Author&gt;Cody&lt;/Author&gt;&lt;Year&gt;1993&lt;/Year&gt;&lt;RecNum&gt;710&lt;/RecNum&gt;&lt;DisplayText&gt;(Cody et al., 1993)&lt;/DisplayText&gt;&lt;record&gt;&lt;rec-number&gt;710&lt;/rec-number&gt;&lt;foreign-keys&gt;&lt;key app="EN" db-id="0d0929f959rse9ex25rp09za5avf0ept9spf" timestamp="1504211826"&gt;710&lt;/key&gt;&lt;/foreign-keys&gt;&lt;ref-type name="Journal Article"&gt;17&lt;/ref-type&gt;&lt;contributors&gt;&lt;authors&gt;&lt;author&gt;Cody, Ronald P.&lt;/author&gt;&lt;author&gt;Strawderman, William W.&lt;/author&gt;&lt;author&gt;Kipen, Howard M.&lt;/author&gt;&lt;/authors&gt;&lt;/contributors&gt;&lt;titles&gt;&lt;title&gt;Hematologic Effects of Benzene: Job-Specific Trends during the First Year of Employment among a Cohort of Benzene-Exposed Rubber Workers&lt;/title&gt;&lt;secondary-title&gt;Journal of Occupational and Environmental Medicine&lt;/secondary-title&gt;&lt;/titles&gt;&lt;periodical&gt;&lt;full-title&gt;Journal of Occupational and Environmental Medicine&lt;/full-title&gt;&lt;/periodical&gt;&lt;pages&gt;776-782&lt;/pages&gt;&lt;volume&gt;35&lt;/volume&gt;&lt;number&gt;8&lt;/number&gt;&lt;dates&gt;&lt;year&gt;1993&lt;/year&gt;&lt;/dates&gt;&lt;isbn&gt;1076-2752&lt;/isbn&gt;&lt;accession-num&gt;00005122-199308000-00013&lt;/accession-num&gt;&lt;urls&gt;&lt;related-urls&gt;&lt;url&gt;http://journals.lww.com/joem/Fulltext/1993/08000/Hematologic_Effects_of_Benzene__Job_Specific.13.aspx&lt;/url&gt;&lt;/related-urls&gt;&lt;/urls&gt;&lt;/record&gt;&lt;/Cite&gt;&lt;/EndNote&gt;</w:instrText>
      </w:r>
      <w:r w:rsidRPr="1553EFF0">
        <w:rPr>
          <w:lang w:val="en-GB"/>
        </w:rPr>
        <w:fldChar w:fldCharType="separate"/>
      </w:r>
      <w:r w:rsidR="004653BE" w:rsidRPr="1553EFF0">
        <w:rPr>
          <w:noProof/>
          <w:lang w:val="en-GB"/>
        </w:rPr>
        <w:t>(</w:t>
      </w:r>
      <w:hyperlink w:anchor="_ENREF_7" w:tooltip="Cody, 1993 #710" w:history="1">
        <w:r w:rsidR="004C59A6" w:rsidRPr="1553EFF0">
          <w:rPr>
            <w:noProof/>
            <w:lang w:val="en-GB"/>
          </w:rPr>
          <w:t>Cody et al., 1993</w:t>
        </w:r>
      </w:hyperlink>
      <w:r w:rsidR="004653BE" w:rsidRPr="1553EFF0">
        <w:rPr>
          <w:noProof/>
          <w:lang w:val="en-GB"/>
        </w:rPr>
        <w:t>)</w:t>
      </w:r>
      <w:r w:rsidRPr="1553EFF0">
        <w:rPr>
          <w:lang w:val="en-GB"/>
        </w:rPr>
        <w:fldChar w:fldCharType="end"/>
      </w:r>
      <w:r w:rsidR="007D081C" w:rsidRPr="1553EFF0">
        <w:rPr>
          <w:lang w:val="en-GB"/>
        </w:rPr>
        <w:t xml:space="preserve">,, and are inversely correlated with average annual benzene air levels for exposed workers </w:t>
      </w:r>
      <w:r w:rsidRPr="1553EFF0">
        <w:rPr>
          <w:lang w:val="en-GB"/>
        </w:rPr>
        <w:fldChar w:fldCharType="begin"/>
      </w:r>
      <w:r w:rsidRPr="1553EFF0">
        <w:rPr>
          <w:lang w:val="en-GB"/>
        </w:rPr>
        <w:instrText xml:space="preserve"> ADDIN EN.CITE &lt;EndNote&gt;&lt;Cite&gt;&lt;Author&gt;Kipen&lt;/Author&gt;&lt;Year&gt;1988&lt;/Year&gt;&lt;RecNum&gt;709&lt;/RecNum&gt;&lt;DisplayText&gt;(Kipen et al., 1988)&lt;/DisplayText&gt;&lt;record&gt;&lt;rec-number&gt;709&lt;/rec-number&gt;&lt;foreign-keys&gt;&lt;key app="EN" db-id="0d0929f959rse9ex25rp09za5avf0ept9spf" timestamp="1504210758"&gt;709&lt;/key&gt;&lt;/foreign-keys&gt;&lt;ref-type name="Journal Article"&gt;17&lt;/ref-type&gt;&lt;contributors&gt;&lt;authors&gt;&lt;author&gt;Kipen, Howard M&lt;/author&gt;&lt;author&gt;Cody, Ronald P&lt;/author&gt;&lt;author&gt;Crump, Kenny S&lt;/author&gt;&lt;author&gt;Allen, Bruce C&lt;/author&gt;&lt;author&gt;Goldstein, Bernard D&lt;/author&gt;&lt;/authors&gt;&lt;/contributors&gt;&lt;titles&gt;&lt;title&gt;Hematologic effects of benzene: a thirty-five year longitudinal study of rubber workers&lt;/title&gt;&lt;secondary-title&gt;Toxicology and industrial health&lt;/secondary-title&gt;&lt;/titles&gt;&lt;periodical&gt;&lt;full-title&gt;Toxicology and Industrial Health&lt;/full-title&gt;&lt;abbr-1&gt;Toxicol. Ind. Health&lt;/abbr-1&gt;&lt;/periodical&gt;&lt;pages&gt;411-430&lt;/pages&gt;&lt;volume&gt;4&lt;/volume&gt;&lt;number&gt;4&lt;/number&gt;&lt;dates&gt;&lt;year&gt;1988&lt;/year&gt;&lt;/dates&gt;&lt;isbn&gt;0748-2337&lt;/isbn&gt;&lt;urls&gt;&lt;/urls&gt;&lt;/record&gt;&lt;/Cite&gt;&lt;/EndNote&gt;</w:instrText>
      </w:r>
      <w:r w:rsidRPr="1553EFF0">
        <w:rPr>
          <w:lang w:val="en-GB"/>
        </w:rPr>
        <w:fldChar w:fldCharType="separate"/>
      </w:r>
      <w:r w:rsidR="004653BE" w:rsidRPr="1553EFF0">
        <w:rPr>
          <w:noProof/>
          <w:lang w:val="en-GB"/>
        </w:rPr>
        <w:t>(</w:t>
      </w:r>
      <w:hyperlink w:anchor="_ENREF_20" w:tooltip="Kipen, 1988 #709" w:history="1">
        <w:r w:rsidR="004C59A6" w:rsidRPr="1553EFF0">
          <w:rPr>
            <w:noProof/>
            <w:lang w:val="en-GB"/>
          </w:rPr>
          <w:t>Kipen et al., 1988</w:t>
        </w:r>
      </w:hyperlink>
      <w:r w:rsidR="004653BE" w:rsidRPr="1553EFF0">
        <w:rPr>
          <w:noProof/>
          <w:lang w:val="en-GB"/>
        </w:rPr>
        <w:t>)</w:t>
      </w:r>
      <w:r w:rsidRPr="1553EFF0">
        <w:rPr>
          <w:lang w:val="en-GB"/>
        </w:rPr>
        <w:fldChar w:fldCharType="end"/>
      </w:r>
      <w:r w:rsidR="007D081C" w:rsidRPr="1553EFF0">
        <w:rPr>
          <w:lang w:val="en-GB"/>
        </w:rPr>
        <w:t xml:space="preserve">.... </w:t>
      </w:r>
      <w:r w:rsidR="004251C5" w:rsidRPr="1553EFF0">
        <w:rPr>
          <w:lang w:val="en-GB"/>
        </w:rPr>
        <w:t>Less literature characterizes the time course of genetic toxicity, but w</w:t>
      </w:r>
      <w:r w:rsidR="007D081C" w:rsidRPr="1553EFF0">
        <w:rPr>
          <w:lang w:val="en-GB"/>
        </w:rPr>
        <w:t>orkers with a mean employment of 6.9 ± 4.9 years (0.7 to 16.5 years) at a 72 ppm ave</w:t>
      </w:r>
      <w:r w:rsidR="004251C5" w:rsidRPr="1553EFF0">
        <w:rPr>
          <w:lang w:val="en-GB"/>
        </w:rPr>
        <w:t>r</w:t>
      </w:r>
      <w:r w:rsidR="007D081C" w:rsidRPr="1553EFF0">
        <w:rPr>
          <w:lang w:val="en-GB"/>
        </w:rPr>
        <w:t xml:space="preserve">age benzene exposure </w:t>
      </w:r>
      <w:r w:rsidR="004251C5" w:rsidRPr="1553EFF0">
        <w:rPr>
          <w:lang w:val="en-GB"/>
        </w:rPr>
        <w:t xml:space="preserve">had significant increases in glycophorin A mutations, indicative of genotoxicity to bone marrow </w:t>
      </w:r>
      <w:r w:rsidRPr="1553EFF0">
        <w:rPr>
          <w:lang w:val="en-GB"/>
        </w:rPr>
        <w:fldChar w:fldCharType="begin"/>
      </w:r>
      <w:r w:rsidRPr="1553EFF0">
        <w:rPr>
          <w:lang w:val="en-GB"/>
        </w:rPr>
        <w:instrText xml:space="preserve"> ADDIN EN.CITE &lt;EndNote&gt;&lt;Cite&gt;&lt;Author&gt;Rothman&lt;/Author&gt;&lt;Year&gt;1995&lt;/Year&gt;&lt;RecNum&gt;380&lt;/RecNum&gt;&lt;DisplayText&gt;(Rothman et al., 1995)&lt;/DisplayText&gt;&lt;record&gt;&lt;rec-number&gt;380&lt;/rec-number&gt;&lt;foreign-keys&gt;&lt;key app="EN" db-id="0d0929f959rse9ex25rp09za5avf0ept9spf" timestamp="1481562000"&gt;380&lt;/key&gt;&lt;/foreign-keys&gt;&lt;ref-type name="Journal Article"&gt;17&lt;/ref-type&gt;&lt;contributors&gt;&lt;authors&gt;&lt;author&gt;Rothman, N&lt;/author&gt;&lt;author&gt;Haas, R&lt;/author&gt;&lt;author&gt;Hayes, R B&lt;/author&gt;&lt;author&gt;Li, G L&lt;/author&gt;&lt;author&gt;Wiemels, J&lt;/author&gt;&lt;author&gt;Campleman, S&lt;/author&gt;&lt;author&gt;Quintana, P J&lt;/author&gt;&lt;author&gt;Xi, L J&lt;/author&gt;&lt;author&gt;Dosemeci, M&lt;/author&gt;&lt;author&gt;Titenko-Holland, N&lt;/author&gt;&lt;/authors&gt;&lt;/contributors&gt;&lt;titles&gt;&lt;title&gt;Benzene induces gene-duplicating but not gene-inactivating mutations at the glycophorin A locus in exposed humans&lt;/title&gt;&lt;secondary-title&gt;Proceedings of the National Academy of Sciences&lt;/secondary-title&gt;&lt;/titles&gt;&lt;periodical&gt;&lt;full-title&gt;Proceedings of the National Academy of Sciences&lt;/full-title&gt;&lt;/periodical&gt;&lt;pages&gt;4069-4073&lt;/pages&gt;&lt;volume&gt;92&lt;/volume&gt;&lt;number&gt;9&lt;/number&gt;&lt;dates&gt;&lt;year&gt;1995&lt;/year&gt;&lt;pub-dates&gt;&lt;date&gt;April 25, 1995&lt;/date&gt;&lt;/pub-dates&gt;&lt;/dates&gt;&lt;urls&gt;&lt;related-urls&gt;&lt;url&gt;http://www.pnas.org/content/92/9/4069.abstract&lt;/url&gt;&lt;/related-urls&gt;&lt;/urls&gt;&lt;electronic-resource-num&gt;10.1073/pnas.92.9.4069&lt;/electronic-resource-num&gt;&lt;/record&gt;&lt;/Cite&gt;&lt;/EndNote&gt;</w:instrText>
      </w:r>
      <w:r w:rsidRPr="1553EFF0">
        <w:rPr>
          <w:lang w:val="en-GB"/>
        </w:rPr>
        <w:fldChar w:fldCharType="separate"/>
      </w:r>
      <w:r w:rsidR="004653BE" w:rsidRPr="1553EFF0">
        <w:rPr>
          <w:noProof/>
          <w:lang w:val="en-GB"/>
        </w:rPr>
        <w:t>(</w:t>
      </w:r>
      <w:hyperlink w:anchor="_ENREF_29" w:tooltip="Rothman, 1995 #380" w:history="1">
        <w:r w:rsidR="004C59A6" w:rsidRPr="1553EFF0">
          <w:rPr>
            <w:noProof/>
            <w:lang w:val="en-GB"/>
          </w:rPr>
          <w:t>Rothman et al., 1995</w:t>
        </w:r>
      </w:hyperlink>
      <w:r w:rsidR="004653BE" w:rsidRPr="1553EFF0">
        <w:rPr>
          <w:noProof/>
          <w:lang w:val="en-GB"/>
        </w:rPr>
        <w:t>)</w:t>
      </w:r>
      <w:r w:rsidRPr="1553EFF0">
        <w:rPr>
          <w:lang w:val="en-GB"/>
        </w:rPr>
        <w:fldChar w:fldCharType="end"/>
      </w:r>
      <w:r w:rsidR="004251C5" w:rsidRPr="1553EFF0">
        <w:rPr>
          <w:lang w:val="en-GB"/>
        </w:rPr>
        <w:t>.. Evaluation of the database of high quality studies for both hemato</w:t>
      </w:r>
      <w:r w:rsidR="23ED7618" w:rsidRPr="1553EFF0">
        <w:rPr>
          <w:lang w:val="en-GB"/>
        </w:rPr>
        <w:t>to</w:t>
      </w:r>
      <w:r w:rsidR="004251C5" w:rsidRPr="1553EFF0">
        <w:rPr>
          <w:lang w:val="en-GB"/>
        </w:rPr>
        <w:t xml:space="preserve">xicity and genetic toxicity suggest effects are observable at exposures of approximately 2 ppm </w:t>
      </w:r>
      <w:r w:rsidRPr="1553EFF0">
        <w:rPr>
          <w:lang w:val="en-GB"/>
        </w:rPr>
        <w:fldChar w:fldCharType="begin"/>
      </w:r>
      <w:r w:rsidR="00CA7A02">
        <w:rPr>
          <w:lang w:val="en-GB"/>
        </w:rPr>
        <w:instrText xml:space="preserve"> ADDIN EN.CITE &lt;EndNote&gt;&lt;Cite&gt;&lt;Author&gt;Schnatter&lt;/Author&gt;&lt;Year&gt;2020&lt;/Year&gt;&lt;RecNum&gt;1091&lt;/RecNum&gt;&lt;DisplayText&gt;(Schnatter et al., 2020)&lt;/DisplayText&gt;&lt;record&gt;&lt;rec-number&gt;1091&lt;/rec-number&gt;&lt;foreign-keys&gt;&lt;key app="EN" db-id="0d0929f959rse9ex25rp09za5avf0ept9spf" timestamp="1580844846"&gt;1091&lt;/key&gt;&lt;/foreign-keys&gt;&lt;ref-type name="Journal Article"&gt;17&lt;/ref-type&gt;&lt;contributors&gt;&lt;authors&gt;&lt;author&gt;Schnatter, A Robert&lt;/author&gt;&lt;author&gt;Rooseboom, Martijn&lt;/author&gt;&lt;author&gt;Kocabas, Neslihan Aygun&lt;/author&gt;&lt;author&gt;North, Colin M&lt;/author&gt;&lt;author&gt;Dalzell, Abigail&lt;/author&gt;&lt;author&gt;Twisk, Johannes J&lt;/author&gt;&lt;author&gt;Faulhammer, Frank&lt;/author&gt;&lt;author&gt;Rushton, Erik&lt;/author&gt;&lt;author&gt;Boogard, Peter J&lt;/author&gt;&lt;author&gt;Ostapenkaite, Viktoria&lt;/author&gt;&lt;author&gt;Williams, Stephen D&lt;/author&gt;&lt;/authors&gt;&lt;/contributors&gt;&lt;titles&gt;&lt;title&gt;Derivation of an Occupational Exposure Limit for Benzene Using Epidemiological Study Quality Assessment Tools &lt;/title&gt;&lt;secondary-title&gt;Toxicology Letters&lt;/secondary-title&gt;&lt;/titles&gt;&lt;periodical&gt;&lt;full-title&gt;Toxicology Letters&lt;/full-title&gt;&lt;/periodical&gt;&lt;dates&gt;&lt;year&gt;2020&lt;/year&gt;&lt;/dates&gt;&lt;urls&gt;&lt;/urls&gt;&lt;electronic-resource-num&gt;https://doi.org/10.1016/j.toxlet.2020.05.036 &lt;/electronic-resource-num&gt;&lt;/record&gt;&lt;/Cite&gt;&lt;/EndNote&gt;</w:instrText>
      </w:r>
      <w:r w:rsidRPr="1553EFF0">
        <w:rPr>
          <w:lang w:val="en-GB"/>
        </w:rPr>
        <w:fldChar w:fldCharType="separate"/>
      </w:r>
      <w:r w:rsidR="004653BE" w:rsidRPr="1553EFF0">
        <w:rPr>
          <w:noProof/>
          <w:lang w:val="en-GB"/>
        </w:rPr>
        <w:t>(</w:t>
      </w:r>
      <w:hyperlink w:anchor="_ENREF_33" w:tooltip="Schnatter, 2020 #1091" w:history="1">
        <w:r w:rsidR="004C59A6" w:rsidRPr="1553EFF0">
          <w:rPr>
            <w:noProof/>
            <w:lang w:val="en-GB"/>
          </w:rPr>
          <w:t>Schnatter et al., 2020</w:t>
        </w:r>
      </w:hyperlink>
      <w:r w:rsidR="004653BE" w:rsidRPr="1553EFF0">
        <w:rPr>
          <w:noProof/>
          <w:lang w:val="en-GB"/>
        </w:rPr>
        <w:t>)</w:t>
      </w:r>
      <w:r w:rsidRPr="1553EFF0">
        <w:rPr>
          <w:lang w:val="en-GB"/>
        </w:rPr>
        <w:fldChar w:fldCharType="end"/>
      </w:r>
      <w:r w:rsidR="00AE0DD1" w:rsidRPr="1553EFF0">
        <w:rPr>
          <w:lang w:val="en-GB"/>
        </w:rPr>
        <w:t xml:space="preserve">,, events which are both anticipated in  benzene’s </w:t>
      </w:r>
      <w:r w:rsidR="00DA0F61" w:rsidRPr="1553EFF0">
        <w:rPr>
          <w:lang w:val="en-GB"/>
        </w:rPr>
        <w:t>MOA</w:t>
      </w:r>
      <w:r w:rsidR="00AE0DD1" w:rsidRPr="1553EFF0">
        <w:rPr>
          <w:lang w:val="en-GB"/>
        </w:rPr>
        <w:t xml:space="preserve"> to precede </w:t>
      </w:r>
      <w:r w:rsidR="4BBE3D8A" w:rsidRPr="1553EFF0">
        <w:rPr>
          <w:lang w:val="en-GB"/>
        </w:rPr>
        <w:t>leukaem</w:t>
      </w:r>
      <w:r w:rsidR="00AE0DD1" w:rsidRPr="1553EFF0">
        <w:rPr>
          <w:lang w:val="en-GB"/>
        </w:rPr>
        <w:t xml:space="preserve">ia </w:t>
      </w:r>
      <w:r w:rsidRPr="1553EFF0">
        <w:rPr>
          <w:lang w:val="en-GB"/>
        </w:rPr>
        <w:fldChar w:fldCharType="begin"/>
      </w:r>
      <w:r w:rsidR="00CA7A02">
        <w:rPr>
          <w:lang w:val="en-GB"/>
        </w:rPr>
        <w:instrText xml:space="preserve"> ADDIN EN.CITE &lt;EndNote&gt;&lt;Cite&gt;&lt;Author&gt;North&lt;/Author&gt;&lt;Year&gt;2020&lt;/Year&gt;&lt;RecNum&gt;1068&lt;/RecNum&gt;&lt;DisplayText&gt;(North et al., 2020)&lt;/DisplayText&gt;&lt;record&gt;&lt;rec-number&gt;1068&lt;/rec-number&gt;&lt;foreign-keys&gt;&lt;key app="EN" db-id="0d0929f959rse9ex25rp09za5avf0ept9spf" timestamp="1575473563"&gt;1068&lt;/key&gt;&lt;/foreign-keys&gt;&lt;ref-type name="Journal Article"&gt;17&lt;/ref-type&gt;&lt;contributors&gt;&lt;authors&gt;&lt;author&gt;North, Colin M&lt;/author&gt;&lt;author&gt;Rooseboom, Martijn&lt;/author&gt;&lt;author&gt;Kocabas, Neslihan Aygun&lt;/author&gt;&lt;author&gt;Schnatter, A Robert&lt;/author&gt;&lt;author&gt;Faulhammer, Frank&lt;/author&gt;&lt;author&gt;Williams, Stephen D&lt;/author&gt;&lt;/authors&gt;&lt;/contributors&gt;&lt;titles&gt;&lt;title&gt;Modes of Action Considerations in Threshold Expectations for Health Effects of Benzene&lt;/title&gt;&lt;secondary-title&gt;Submitted to Toxicology Letters&lt;/secondary-title&gt;&lt;/titles&gt;&lt;periodical&gt;&lt;full-title&gt;Submitted to Toxicology Letters&lt;/full-title&gt;&lt;/periodical&gt;&lt;dates&gt;&lt;year&gt;2020&lt;/year&gt;&lt;/dates&gt;&lt;urls&gt;&lt;/urls&gt;&lt;/record&gt;&lt;/Cite&gt;&lt;/EndNote&gt;</w:instrText>
      </w:r>
      <w:r w:rsidRPr="1553EFF0">
        <w:rPr>
          <w:lang w:val="en-GB"/>
        </w:rPr>
        <w:fldChar w:fldCharType="separate"/>
      </w:r>
      <w:r w:rsidR="004653BE" w:rsidRPr="1553EFF0">
        <w:rPr>
          <w:noProof/>
          <w:lang w:val="en-GB"/>
        </w:rPr>
        <w:t>(</w:t>
      </w:r>
      <w:hyperlink w:anchor="_ENREF_23" w:tooltip="North, 2020 #1068" w:history="1">
        <w:r w:rsidR="004C59A6" w:rsidRPr="1553EFF0">
          <w:rPr>
            <w:noProof/>
            <w:lang w:val="en-GB"/>
          </w:rPr>
          <w:t>North et al., 2020</w:t>
        </w:r>
      </w:hyperlink>
      <w:r w:rsidR="004653BE" w:rsidRPr="1553EFF0">
        <w:rPr>
          <w:noProof/>
          <w:lang w:val="en-GB"/>
        </w:rPr>
        <w:t>)</w:t>
      </w:r>
      <w:r w:rsidRPr="1553EFF0">
        <w:rPr>
          <w:lang w:val="en-GB"/>
        </w:rPr>
        <w:fldChar w:fldCharType="end"/>
      </w:r>
      <w:r w:rsidR="004251C5" w:rsidRPr="1553EFF0">
        <w:rPr>
          <w:lang w:val="en-GB"/>
        </w:rPr>
        <w:t>..</w:t>
      </w:r>
    </w:p>
    <w:p w14:paraId="439094D6" w14:textId="10AAB748" w:rsidR="00226C08" w:rsidRPr="00CD48FA" w:rsidRDefault="00226C08" w:rsidP="00230BCD">
      <w:pPr>
        <w:rPr>
          <w:lang w:val="en-GB"/>
        </w:rPr>
      </w:pPr>
      <w:r w:rsidRPr="1553EFF0">
        <w:rPr>
          <w:lang w:val="en-GB"/>
        </w:rPr>
        <w:t xml:space="preserve">Here we </w:t>
      </w:r>
      <w:r w:rsidR="00C251C5" w:rsidRPr="1553EFF0">
        <w:rPr>
          <w:lang w:val="en-GB"/>
        </w:rPr>
        <w:t xml:space="preserve">applied </w:t>
      </w:r>
      <w:r w:rsidRPr="1553EFF0">
        <w:rPr>
          <w:lang w:val="en-GB"/>
        </w:rPr>
        <w:t xml:space="preserve">risk modelling for benzene </w:t>
      </w:r>
      <w:r w:rsidR="4893C2FC" w:rsidRPr="1553EFF0">
        <w:rPr>
          <w:lang w:val="en-GB"/>
        </w:rPr>
        <w:t>leukaem</w:t>
      </w:r>
      <w:r w:rsidR="00397BBA" w:rsidRPr="1553EFF0">
        <w:rPr>
          <w:lang w:val="en-GB"/>
        </w:rPr>
        <w:t xml:space="preserve">ogenicity </w:t>
      </w:r>
      <w:r w:rsidRPr="1553EFF0">
        <w:rPr>
          <w:lang w:val="en-GB"/>
        </w:rPr>
        <w:t>by considering that</w:t>
      </w:r>
      <w:r w:rsidR="00424E9F" w:rsidRPr="1553EFF0">
        <w:rPr>
          <w:lang w:val="en-GB"/>
        </w:rPr>
        <w:t xml:space="preserve"> risks</w:t>
      </w:r>
      <w:r w:rsidRPr="1553EFF0">
        <w:rPr>
          <w:lang w:val="en-GB"/>
        </w:rPr>
        <w:t xml:space="preserve"> </w:t>
      </w:r>
      <w:r w:rsidR="00BD0B65" w:rsidRPr="1553EFF0">
        <w:rPr>
          <w:lang w:val="en-GB"/>
        </w:rPr>
        <w:t xml:space="preserve">at exposures equal or greater than that causing hematotoxic or genotoxic effects </w:t>
      </w:r>
      <w:r w:rsidR="009D0BB6" w:rsidRPr="1553EFF0">
        <w:rPr>
          <w:lang w:val="en-GB"/>
        </w:rPr>
        <w:t xml:space="preserve">(2 ppm) </w:t>
      </w:r>
      <w:r w:rsidR="00424E9F" w:rsidRPr="1553EFF0">
        <w:rPr>
          <w:lang w:val="en-GB"/>
        </w:rPr>
        <w:t xml:space="preserve">can be </w:t>
      </w:r>
      <w:r w:rsidR="00211A21" w:rsidRPr="1553EFF0">
        <w:rPr>
          <w:lang w:val="en-GB"/>
        </w:rPr>
        <w:t>modelled</w:t>
      </w:r>
      <w:r w:rsidR="00424E9F" w:rsidRPr="1553EFF0">
        <w:rPr>
          <w:lang w:val="en-GB"/>
        </w:rPr>
        <w:t xml:space="preserve"> using a </w:t>
      </w:r>
      <w:r w:rsidR="78D8A160" w:rsidRPr="1553EFF0">
        <w:rPr>
          <w:lang w:val="en-GB"/>
        </w:rPr>
        <w:t>LNT</w:t>
      </w:r>
      <w:r w:rsidR="00424E9F" w:rsidRPr="1553EFF0">
        <w:rPr>
          <w:lang w:val="en-GB"/>
        </w:rPr>
        <w:t xml:space="preserve"> approach</w:t>
      </w:r>
      <w:r w:rsidR="00BD0B65" w:rsidRPr="1553EFF0">
        <w:rPr>
          <w:lang w:val="en-GB"/>
        </w:rPr>
        <w:t xml:space="preserve">, but below that </w:t>
      </w:r>
      <w:r w:rsidR="009D0BB6" w:rsidRPr="1553EFF0">
        <w:rPr>
          <w:lang w:val="en-GB"/>
        </w:rPr>
        <w:t xml:space="preserve">point a </w:t>
      </w:r>
      <w:r w:rsidR="00397BBA" w:rsidRPr="1553EFF0">
        <w:rPr>
          <w:lang w:val="en-GB"/>
        </w:rPr>
        <w:t>decreased</w:t>
      </w:r>
      <w:r w:rsidR="1C68BE9C" w:rsidRPr="1553EFF0">
        <w:rPr>
          <w:lang w:val="en-GB"/>
        </w:rPr>
        <w:t xml:space="preserve"> </w:t>
      </w:r>
      <w:r w:rsidR="502932A8" w:rsidRPr="1553EFF0">
        <w:rPr>
          <w:lang w:val="en-GB"/>
        </w:rPr>
        <w:t>leukaem</w:t>
      </w:r>
      <w:r w:rsidR="1C68BE9C" w:rsidRPr="1553EFF0">
        <w:rPr>
          <w:lang w:val="en-GB"/>
        </w:rPr>
        <w:t xml:space="preserve">ia risk </w:t>
      </w:r>
      <w:r w:rsidR="009D0BB6" w:rsidRPr="1553EFF0">
        <w:rPr>
          <w:lang w:val="en-GB"/>
        </w:rPr>
        <w:t xml:space="preserve">is more </w:t>
      </w:r>
      <w:r w:rsidR="00B80869" w:rsidRPr="1553EFF0">
        <w:rPr>
          <w:lang w:val="en-GB"/>
        </w:rPr>
        <w:t>reflective of real world experience</w:t>
      </w:r>
      <w:r w:rsidR="009D0BB6" w:rsidRPr="1553EFF0">
        <w:rPr>
          <w:lang w:val="en-GB"/>
        </w:rPr>
        <w:t>.</w:t>
      </w:r>
      <w:r w:rsidR="00B80869" w:rsidRPr="1553EFF0">
        <w:rPr>
          <w:lang w:val="en-GB"/>
        </w:rPr>
        <w:t xml:space="preserve"> We present two approaches to adjust the risk model below 2 ppm: continuously decreasing slope </w:t>
      </w:r>
      <w:r w:rsidR="003371A1" w:rsidRPr="1553EFF0">
        <w:rPr>
          <w:lang w:val="en-GB"/>
        </w:rPr>
        <w:t>(CDS)</w:t>
      </w:r>
      <w:r w:rsidR="00B80869" w:rsidRPr="1553EFF0">
        <w:rPr>
          <w:lang w:val="en-GB"/>
        </w:rPr>
        <w:t xml:space="preserve"> or </w:t>
      </w:r>
      <w:r w:rsidR="00424E9F" w:rsidRPr="1553EFF0">
        <w:rPr>
          <w:lang w:val="en-GB"/>
        </w:rPr>
        <w:t>a seg</w:t>
      </w:r>
      <w:r w:rsidR="003371A1" w:rsidRPr="1553EFF0">
        <w:rPr>
          <w:lang w:val="en-GB"/>
        </w:rPr>
        <w:t>ment modified slope (SMS) between 2 ppm and the 0.25 ppm</w:t>
      </w:r>
      <w:r w:rsidR="000D1BF3" w:rsidRPr="1553EFF0">
        <w:rPr>
          <w:lang w:val="en-GB"/>
        </w:rPr>
        <w:t xml:space="preserve"> OEL proposed by the LOA consortium</w:t>
      </w:r>
      <w:r w:rsidR="003371A1" w:rsidRPr="1553EFF0">
        <w:rPr>
          <w:lang w:val="en-GB"/>
        </w:rPr>
        <w:t>.</w:t>
      </w:r>
      <w:r w:rsidR="00397BBA" w:rsidRPr="1553EFF0">
        <w:rPr>
          <w:lang w:val="en-GB"/>
        </w:rPr>
        <w:t xml:space="preserve"> </w:t>
      </w:r>
    </w:p>
    <w:p w14:paraId="296ACA14" w14:textId="4A9C8CAB" w:rsidR="29F624C6" w:rsidRDefault="29F624C6" w:rsidP="29F624C6">
      <w:pPr>
        <w:rPr>
          <w:lang w:val="en-GB"/>
        </w:rPr>
      </w:pPr>
    </w:p>
    <w:p w14:paraId="36ABAD21" w14:textId="170154CB" w:rsidR="02A287E8" w:rsidRDefault="000D1BF3" w:rsidP="772378C6">
      <w:pPr>
        <w:pStyle w:val="Heading2"/>
        <w:rPr>
          <w:lang w:val="en-GB"/>
        </w:rPr>
      </w:pPr>
      <w:commentRangeStart w:id="1"/>
      <w:commentRangeEnd w:id="1"/>
      <w:r>
        <w:rPr>
          <w:lang w:val="en-GB"/>
        </w:rPr>
        <w:t>Rationale</w:t>
      </w:r>
    </w:p>
    <w:p w14:paraId="4AD0D220" w14:textId="268C1F12" w:rsidR="6CC676FE" w:rsidRDefault="6CC676FE" w:rsidP="000D1BF3">
      <w:pPr>
        <w:rPr>
          <w:lang w:val="en-GB"/>
        </w:rPr>
      </w:pPr>
    </w:p>
    <w:p w14:paraId="48926405" w14:textId="291EB7AE" w:rsidR="02A287E8" w:rsidRDefault="02A287E8" w:rsidP="701D3CA4">
      <w:pPr>
        <w:rPr>
          <w:lang w:val="en-GB"/>
        </w:rPr>
      </w:pPr>
      <w:r w:rsidRPr="1553EFF0">
        <w:rPr>
          <w:lang w:val="en-GB"/>
        </w:rPr>
        <w:t xml:space="preserve">Multiple studies, </w:t>
      </w:r>
      <w:r w:rsidR="39CAB45C" w:rsidRPr="1553EFF0">
        <w:rPr>
          <w:lang w:val="en-GB"/>
        </w:rPr>
        <w:t xml:space="preserve">in </w:t>
      </w:r>
      <w:r w:rsidRPr="1553EFF0">
        <w:rPr>
          <w:lang w:val="en-GB"/>
        </w:rPr>
        <w:t>both human</w:t>
      </w:r>
      <w:r w:rsidR="0821B090" w:rsidRPr="1553EFF0">
        <w:rPr>
          <w:lang w:val="en-GB"/>
        </w:rPr>
        <w:t>s</w:t>
      </w:r>
      <w:r w:rsidRPr="1553EFF0">
        <w:rPr>
          <w:lang w:val="en-GB"/>
        </w:rPr>
        <w:t xml:space="preserve"> and laboratory animal</w:t>
      </w:r>
      <w:r w:rsidR="5F616BD5" w:rsidRPr="1553EFF0">
        <w:rPr>
          <w:lang w:val="en-GB"/>
        </w:rPr>
        <w:t>s</w:t>
      </w:r>
      <w:r w:rsidRPr="1553EFF0">
        <w:rPr>
          <w:lang w:val="en-GB"/>
        </w:rPr>
        <w:t xml:space="preserve">, support </w:t>
      </w:r>
      <w:r w:rsidR="114000D1" w:rsidRPr="1553EFF0">
        <w:rPr>
          <w:lang w:val="en-GB"/>
        </w:rPr>
        <w:t xml:space="preserve">the </w:t>
      </w:r>
      <w:r w:rsidRPr="1553EFF0">
        <w:rPr>
          <w:lang w:val="en-GB"/>
        </w:rPr>
        <w:t>carcinogenic</w:t>
      </w:r>
      <w:r w:rsidR="02511514" w:rsidRPr="1553EFF0">
        <w:rPr>
          <w:lang w:val="en-GB"/>
        </w:rPr>
        <w:t>ity of</w:t>
      </w:r>
      <w:r w:rsidRPr="1553EFF0">
        <w:rPr>
          <w:lang w:val="en-GB"/>
        </w:rPr>
        <w:t xml:space="preserve"> benzene. Given that cancer risk </w:t>
      </w:r>
      <w:r w:rsidR="00211A21" w:rsidRPr="1553EFF0">
        <w:rPr>
          <w:lang w:val="en-GB"/>
        </w:rPr>
        <w:t>modelling</w:t>
      </w:r>
      <w:r w:rsidRPr="1553EFF0">
        <w:rPr>
          <w:lang w:val="en-GB"/>
        </w:rPr>
        <w:t xml:space="preserve"> is generally performed for humans, and there is a body of scientific evidence to characterize human leukaemogenicity of benzene for OEL development, this</w:t>
      </w:r>
      <w:r w:rsidR="74547A25" w:rsidRPr="1553EFF0">
        <w:rPr>
          <w:lang w:val="en-GB"/>
        </w:rPr>
        <w:t xml:space="preserve"> review</w:t>
      </w:r>
      <w:r w:rsidRPr="1553EFF0">
        <w:rPr>
          <w:lang w:val="en-GB"/>
        </w:rPr>
        <w:t xml:space="preserve"> focuses on the human studies. Laboratory rodent studies collectively indicate that benzene exposure can result in dose-related increases in multiple tumour types in both rats and mice</w:t>
      </w:r>
      <w:r w:rsidR="595C67E6" w:rsidRPr="1553EFF0">
        <w:rPr>
          <w:lang w:val="en-GB"/>
        </w:rPr>
        <w:t xml:space="preserve">, while epidemiologic studies have reported excesses acute myeloid </w:t>
      </w:r>
      <w:r w:rsidR="66D96C5A" w:rsidRPr="1553EFF0">
        <w:rPr>
          <w:lang w:val="en-GB"/>
        </w:rPr>
        <w:t>leukaem</w:t>
      </w:r>
      <w:r w:rsidR="595C67E6" w:rsidRPr="1553EFF0">
        <w:rPr>
          <w:lang w:val="en-GB"/>
        </w:rPr>
        <w:t>ia (AML) and my</w:t>
      </w:r>
      <w:r w:rsidR="2766299E" w:rsidRPr="1553EFF0">
        <w:rPr>
          <w:lang w:val="en-GB"/>
        </w:rPr>
        <w:t>elodysplastic syndrome (MDS)</w:t>
      </w:r>
      <w:r w:rsidR="00CA7A02">
        <w:rPr>
          <w:lang w:val="en-GB"/>
        </w:rPr>
        <w:t>, with other subtypes considerably less consistent</w:t>
      </w:r>
      <w:r w:rsidR="2766299E" w:rsidRPr="1553EFF0">
        <w:rPr>
          <w:lang w:val="en-GB"/>
        </w:rPr>
        <w:t xml:space="preserve">. </w:t>
      </w:r>
    </w:p>
    <w:p w14:paraId="012D0B43" w14:textId="1F74B469" w:rsidR="02A287E8" w:rsidRDefault="3BD3559F" w:rsidP="701D3CA4">
      <w:pPr>
        <w:rPr>
          <w:lang w:val="en-GB"/>
        </w:rPr>
      </w:pPr>
      <w:r w:rsidRPr="6CC676FE">
        <w:rPr>
          <w:lang w:val="en-GB"/>
        </w:rPr>
        <w:t>In addition to the f</w:t>
      </w:r>
      <w:r w:rsidR="5DD516C6" w:rsidRPr="6CC676FE">
        <w:rPr>
          <w:lang w:val="en-GB"/>
        </w:rPr>
        <w:t>orm of statistical models (LNT, thresholds, linear, non-linear)</w:t>
      </w:r>
      <w:r w:rsidR="2ACE2676" w:rsidRPr="6CC676FE">
        <w:rPr>
          <w:lang w:val="en-GB"/>
        </w:rPr>
        <w:t>, benzene carcinogenicity models can be based on different cancer types</w:t>
      </w:r>
      <w:r w:rsidR="67683D5D" w:rsidRPr="6CC676FE">
        <w:rPr>
          <w:lang w:val="en-GB"/>
        </w:rPr>
        <w:t xml:space="preserve"> and </w:t>
      </w:r>
      <w:r w:rsidR="75C0F186" w:rsidRPr="6CC676FE">
        <w:rPr>
          <w:lang w:val="en-GB"/>
        </w:rPr>
        <w:t>on different latency</w:t>
      </w:r>
      <w:r w:rsidR="777B77F1" w:rsidRPr="6CC676FE">
        <w:rPr>
          <w:lang w:val="en-GB"/>
        </w:rPr>
        <w:t xml:space="preserve"> or </w:t>
      </w:r>
      <w:r w:rsidR="75C0F186" w:rsidRPr="6CC676FE">
        <w:rPr>
          <w:lang w:val="en-GB"/>
        </w:rPr>
        <w:t>lag periods</w:t>
      </w:r>
      <w:r w:rsidR="4716CED5" w:rsidRPr="6CC676FE">
        <w:rPr>
          <w:lang w:val="en-GB"/>
        </w:rPr>
        <w:t>. These are critical aspects of carcinogenicity models which, if misspecified</w:t>
      </w:r>
      <w:r w:rsidR="000D1BF3">
        <w:rPr>
          <w:lang w:val="en-GB"/>
        </w:rPr>
        <w:t>,</w:t>
      </w:r>
      <w:r w:rsidR="4716CED5" w:rsidRPr="6CC676FE">
        <w:rPr>
          <w:lang w:val="en-GB"/>
        </w:rPr>
        <w:t xml:space="preserve"> can lead to spurious results. </w:t>
      </w:r>
      <w:r w:rsidR="75C0F186" w:rsidRPr="6CC676FE">
        <w:rPr>
          <w:lang w:val="en-GB"/>
        </w:rPr>
        <w:t xml:space="preserve"> </w:t>
      </w:r>
      <w:r w:rsidR="345DDAD0" w:rsidRPr="6CC676FE">
        <w:rPr>
          <w:lang w:val="en-GB"/>
        </w:rPr>
        <w:t xml:space="preserve">In addition, while recent </w:t>
      </w:r>
      <w:r w:rsidR="01194CD5" w:rsidRPr="6CC676FE">
        <w:rPr>
          <w:lang w:val="en-GB"/>
        </w:rPr>
        <w:t>reviews have suggested that basing occupational exposure limits on hematotoxicity and/or genotoxicity protects against ben</w:t>
      </w:r>
      <w:r w:rsidR="1CA0320F" w:rsidRPr="6CC676FE">
        <w:rPr>
          <w:lang w:val="en-GB"/>
        </w:rPr>
        <w:t>zene-induced carcinogenicity, review of exposure-response data for cance</w:t>
      </w:r>
      <w:r w:rsidR="22C7EB8E" w:rsidRPr="6CC676FE">
        <w:rPr>
          <w:lang w:val="en-GB"/>
        </w:rPr>
        <w:t xml:space="preserve">r is also warranted to either verify or refute that position.  Below we briefly review each aspect </w:t>
      </w:r>
      <w:r w:rsidR="0C821DB6" w:rsidRPr="6CC676FE">
        <w:rPr>
          <w:lang w:val="en-GB"/>
        </w:rPr>
        <w:t xml:space="preserve">(cancer type, lag period and exposure-response) </w:t>
      </w:r>
      <w:r w:rsidR="5FE7C5C2" w:rsidRPr="6CC676FE">
        <w:rPr>
          <w:lang w:val="en-GB"/>
        </w:rPr>
        <w:t>as a basis for the preferred car</w:t>
      </w:r>
      <w:r w:rsidR="6A33DC66" w:rsidRPr="6CC676FE">
        <w:rPr>
          <w:lang w:val="en-GB"/>
        </w:rPr>
        <w:t xml:space="preserve">cinogenicity models. </w:t>
      </w:r>
    </w:p>
    <w:p w14:paraId="17D4AB74" w14:textId="4E71921E" w:rsidR="02A287E8" w:rsidRDefault="61001276" w:rsidP="000D1BF3">
      <w:pPr>
        <w:ind w:firstLine="720"/>
        <w:rPr>
          <w:lang w:val="en-GB"/>
        </w:rPr>
      </w:pPr>
      <w:r w:rsidRPr="701D3CA4">
        <w:rPr>
          <w:i/>
          <w:iCs/>
          <w:lang w:val="en-GB"/>
        </w:rPr>
        <w:t>Cancer type</w:t>
      </w:r>
    </w:p>
    <w:p w14:paraId="7335BB76" w14:textId="0F44B4DE" w:rsidR="02A287E8" w:rsidRDefault="02A287E8" w:rsidP="29F624C6">
      <w:pPr>
        <w:rPr>
          <w:lang w:val="en-GB"/>
        </w:rPr>
      </w:pPr>
      <w:r w:rsidRPr="1553EFF0">
        <w:rPr>
          <w:lang w:val="en-GB"/>
        </w:rPr>
        <w:t xml:space="preserve">The initial evidence of leukaemogenicity emerging in the 1970s and 1980s was inadequate to draw strong conclusions regarding likely causal relationships between </w:t>
      </w:r>
      <w:r w:rsidR="27942804" w:rsidRPr="1553EFF0">
        <w:rPr>
          <w:lang w:val="en-GB"/>
        </w:rPr>
        <w:t xml:space="preserve">benzene and </w:t>
      </w:r>
      <w:r w:rsidRPr="1553EFF0">
        <w:rPr>
          <w:lang w:val="en-GB"/>
        </w:rPr>
        <w:t xml:space="preserve">leukaemia subtypes. </w:t>
      </w:r>
      <w:r w:rsidR="6B3948B5" w:rsidRPr="1553EFF0">
        <w:rPr>
          <w:lang w:val="en-GB"/>
        </w:rPr>
        <w:t xml:space="preserve">More recently </w:t>
      </w:r>
      <w:r w:rsidRPr="1553EFF0">
        <w:rPr>
          <w:lang w:val="en-GB"/>
        </w:rPr>
        <w:t xml:space="preserve">IARC </w:t>
      </w:r>
      <w:r w:rsidR="6C0BA270" w:rsidRPr="1553EFF0">
        <w:rPr>
          <w:lang w:val="en-GB"/>
        </w:rPr>
        <w:t xml:space="preserve">(2018) </w:t>
      </w:r>
      <w:r w:rsidRPr="1553EFF0">
        <w:rPr>
          <w:lang w:val="en-GB"/>
        </w:rPr>
        <w:t>evaluated evidence for multiple subtypes, concluding benzene causes AML in adults. They also noted associations have been observed for non-Hodgkin lymphoma (NHL), chronic lymphoid leukaemia (CLL), multiple myeloma (MM), chronic myeloid leukaemia (CML), AML in children, and cancer of the lung</w:t>
      </w:r>
      <w:r w:rsidR="063EA00C" w:rsidRPr="1553EFF0">
        <w:rPr>
          <w:lang w:val="en-GB"/>
        </w:rPr>
        <w:t xml:space="preserve">, but none of these subtypes were characterized by definitive evidence necessary to make a causal assertion. </w:t>
      </w:r>
      <w:r w:rsidR="3688147E" w:rsidRPr="1553EFF0">
        <w:rPr>
          <w:lang w:val="en-GB"/>
        </w:rPr>
        <w:t xml:space="preserve">Causal effects between benzene and AML </w:t>
      </w:r>
      <w:r w:rsidR="287B506E" w:rsidRPr="1553EFF0">
        <w:rPr>
          <w:lang w:val="en-GB"/>
        </w:rPr>
        <w:t xml:space="preserve">(in the absence of causal effects due to other cell types) </w:t>
      </w:r>
      <w:r w:rsidR="3688147E" w:rsidRPr="1553EFF0">
        <w:rPr>
          <w:lang w:val="en-GB"/>
        </w:rPr>
        <w:t xml:space="preserve">are confirmed by other systematic reviews </w:t>
      </w:r>
      <w:r w:rsidR="00CA7A02">
        <w:rPr>
          <w:lang w:val="en-GB"/>
        </w:rPr>
        <w:fldChar w:fldCharType="begin"/>
      </w:r>
      <w:r w:rsidR="00CA7A02">
        <w:rPr>
          <w:lang w:val="en-GB"/>
        </w:rPr>
        <w:instrText xml:space="preserve"> ADDIN EN.CITE &lt;EndNote&gt;&lt;Cite&gt;&lt;Author&gt;Schnatter&lt;/Author&gt;&lt;Year&gt;2005&lt;/Year&gt;&lt;RecNum&gt;1195&lt;/RecNum&gt;&lt;DisplayText&gt;(Schnatter et al., 2005)&lt;/DisplayText&gt;&lt;record&gt;&lt;rec-number&gt;1195&lt;/rec-number&gt;&lt;foreign-keys&gt;&lt;key app="EN" db-id="0d0929f959rse9ex25rp09za5avf0ept9spf" timestamp="1592261396"&gt;1195&lt;/key&gt;&lt;/foreign-keys&gt;&lt;ref-type name="Journal Article"&gt;17&lt;/ref-type&gt;&lt;contributors&gt;&lt;authors&gt;&lt;author&gt;Schnatter, A. Robert&lt;/author&gt;&lt;author&gt;Rosamilia, Kim&lt;/author&gt;&lt;author&gt;Wojcik, Nancy C.&lt;/author&gt;&lt;/authors&gt;&lt;/contributors&gt;&lt;titles&gt;&lt;title&gt;Review of the literature on benzene exposure and leukemia subtypes&lt;/title&gt;&lt;secondary-title&gt;Chemico-Biological Interactions&lt;/secondary-title&gt;&lt;/titles&gt;&lt;periodical&gt;&lt;full-title&gt;Chem Biol Interact&lt;/full-title&gt;&lt;abbr-1&gt;Chemico-biological interactions&lt;/abbr-1&gt;&lt;/periodical&gt;&lt;pages&gt;9-21&lt;/pages&gt;&lt;volume&gt;153-154&lt;/volume&gt;&lt;keywords&gt;&lt;keyword&gt;Benzene&lt;/keyword&gt;&lt;keyword&gt;Acute myeloid leukemia (AML)&lt;/keyword&gt;&lt;keyword&gt;Chronic myeloid leukemia (CML)&lt;/keyword&gt;&lt;keyword&gt;Acute lymphocytic leukemia (ALL)&lt;/keyword&gt;&lt;keyword&gt;Chronic lymphocytic leukemia (CLL)&lt;/keyword&gt;&lt;keyword&gt;Case-control&lt;/keyword&gt;&lt;keyword&gt;Cohort&lt;/keyword&gt;&lt;/keywords&gt;&lt;dates&gt;&lt;year&gt;2005&lt;/year&gt;&lt;pub-dates&gt;&lt;date&gt;2005/05/30/&lt;/date&gt;&lt;/pub-dates&gt;&lt;/dates&gt;&lt;isbn&gt;0009-2797&lt;/isbn&gt;&lt;urls&gt;&lt;related-urls&gt;&lt;url&gt;http://www.sciencedirect.com/science/article/pii/S0009279705000657&lt;/url&gt;&lt;/related-urls&gt;&lt;/urls&gt;&lt;electronic-resource-num&gt;https://doi.org/10.1016/j.cbi.2005.03.039&lt;/electronic-resource-num&gt;&lt;/record&gt;&lt;/Cite&gt;&lt;/EndNote&gt;</w:instrText>
      </w:r>
      <w:r w:rsidR="00CA7A02">
        <w:rPr>
          <w:lang w:val="en-GB"/>
        </w:rPr>
        <w:fldChar w:fldCharType="separate"/>
      </w:r>
      <w:r w:rsidR="00CA7A02">
        <w:rPr>
          <w:noProof/>
          <w:lang w:val="en-GB"/>
        </w:rPr>
        <w:t>(</w:t>
      </w:r>
      <w:hyperlink w:anchor="_ENREF_34" w:tooltip="Schnatter, 2005 #1195" w:history="1">
        <w:r w:rsidR="004C59A6">
          <w:rPr>
            <w:noProof/>
            <w:lang w:val="en-GB"/>
          </w:rPr>
          <w:t>Schnatter et al., 2005</w:t>
        </w:r>
      </w:hyperlink>
      <w:r w:rsidR="00CA7A02">
        <w:rPr>
          <w:noProof/>
          <w:lang w:val="en-GB"/>
        </w:rPr>
        <w:t>)</w:t>
      </w:r>
      <w:r w:rsidR="00CA7A02">
        <w:rPr>
          <w:lang w:val="en-GB"/>
        </w:rPr>
        <w:fldChar w:fldCharType="end"/>
      </w:r>
      <w:r w:rsidR="0C7D9EDA" w:rsidRPr="1553EFF0">
        <w:rPr>
          <w:lang w:val="en-GB"/>
        </w:rPr>
        <w:t xml:space="preserve"> focused on </w:t>
      </w:r>
      <w:r w:rsidR="1884AE8A" w:rsidRPr="1553EFF0">
        <w:rPr>
          <w:lang w:val="en-GB"/>
        </w:rPr>
        <w:t>leukaem</w:t>
      </w:r>
      <w:r w:rsidR="0C7D9EDA" w:rsidRPr="1553EFF0">
        <w:rPr>
          <w:lang w:val="en-GB"/>
        </w:rPr>
        <w:t>ia cell type</w:t>
      </w:r>
      <w:r w:rsidR="0B44D61D" w:rsidRPr="1553EFF0">
        <w:rPr>
          <w:lang w:val="en-GB"/>
        </w:rPr>
        <w:t xml:space="preserve">.  However, </w:t>
      </w:r>
      <w:r w:rsidR="1345898F" w:rsidRPr="1553EFF0">
        <w:rPr>
          <w:lang w:val="en-GB"/>
        </w:rPr>
        <w:t xml:space="preserve">until recently, few studies have </w:t>
      </w:r>
      <w:r w:rsidRPr="1553EFF0">
        <w:rPr>
          <w:lang w:val="en-GB"/>
        </w:rPr>
        <w:t>provide</w:t>
      </w:r>
      <w:r w:rsidR="47912871" w:rsidRPr="1553EFF0">
        <w:rPr>
          <w:lang w:val="en-GB"/>
        </w:rPr>
        <w:t>d</w:t>
      </w:r>
      <w:r w:rsidRPr="1553EFF0">
        <w:rPr>
          <w:lang w:val="en-GB"/>
        </w:rPr>
        <w:t xml:space="preserve"> information which is useful for quantitative risk assessment </w:t>
      </w:r>
      <w:r w:rsidR="00CA7A02">
        <w:rPr>
          <w:lang w:val="en-GB"/>
        </w:rPr>
        <w:fldChar w:fldCharType="begin"/>
      </w:r>
      <w:r w:rsidR="00CA7A02">
        <w:rPr>
          <w:lang w:val="en-GB"/>
        </w:rPr>
        <w:instrText xml:space="preserve"> ADDIN EN.CITE &lt;EndNote&gt;&lt;Cite&gt;&lt;Author&gt;Vlaanderen&lt;/Author&gt;&lt;Year&gt;2008&lt;/Year&gt;&lt;RecNum&gt;852&lt;/RecNum&gt;&lt;DisplayText&gt;(Vlaanderen et al., 2008)&lt;/DisplayText&gt;&lt;record&gt;&lt;rec-number&gt;852&lt;/rec-number&gt;&lt;foreign-keys&gt;&lt;key app="EN" db-id="0d0929f959rse9ex25rp09za5avf0ept9spf" timestamp="1515097734"&gt;852&lt;/key&gt;&lt;/foreign-keys&gt;&lt;ref-type name="Journal Article"&gt;17&lt;/ref-type&gt;&lt;contributors&gt;&lt;authors&gt;&lt;author&gt;Vlaanderen, Jelle&lt;/author&gt;&lt;author&gt;Vermeulen, Roel&lt;/author&gt;&lt;author&gt;Heederik, Dick&lt;/author&gt;&lt;author&gt;Kromhout, Hans&lt;/author&gt;&lt;author&gt;European Union Network of Excellence, Ecnis Integrated Risk Assessment Group&lt;/author&gt;&lt;/authors&gt;&lt;/contributors&gt;&lt;titles&gt;&lt;title&gt;Guidelines to Evaluate Human Observational Studies for Quantitative Risk Assessment&lt;/title&gt;&lt;secondary-title&gt;Environmental Health Perspectives&lt;/secondary-title&gt;&lt;/titles&gt;&lt;periodical&gt;&lt;full-title&gt;Environmental Health Perspectives&lt;/full-title&gt;&lt;/periodical&gt;&lt;pages&gt;1700-1705&lt;/pages&gt;&lt;volume&gt;116&lt;/volume&gt;&lt;number&gt;12&lt;/number&gt;&lt;dates&gt;&lt;year&gt;2008&lt;/year&gt;&lt;pub-dates&gt;&lt;date&gt;08/12&amp;#xD;04/02/received&amp;#xD;08/12/accepted&lt;/date&gt;&lt;/pub-dates&gt;&lt;/dates&gt;&lt;publisher&gt;National Institute of Environmental Health Sciences&lt;/publisher&gt;&lt;isbn&gt;0091-6765&amp;#xD;1552-9924&lt;/isbn&gt;&lt;accession-num&gt;PMC2599766&lt;/accession-num&gt;&lt;urls&gt;&lt;related-urls&gt;&lt;url&gt;http://www.ncbi.nlm.nih.gov/pmc/articles/PMC2599766/&lt;/url&gt;&lt;/related-urls&gt;&lt;/urls&gt;&lt;electronic-resource-num&gt;10.1289/ehp.11530&lt;/electronic-resource-num&gt;&lt;remote-database-name&gt;PMC&lt;/remote-database-name&gt;&lt;/record&gt;&lt;/Cite&gt;&lt;/EndNote&gt;</w:instrText>
      </w:r>
      <w:r w:rsidR="00CA7A02">
        <w:rPr>
          <w:lang w:val="en-GB"/>
        </w:rPr>
        <w:fldChar w:fldCharType="separate"/>
      </w:r>
      <w:r w:rsidR="00CA7A02">
        <w:rPr>
          <w:noProof/>
          <w:lang w:val="en-GB"/>
        </w:rPr>
        <w:t>(</w:t>
      </w:r>
      <w:hyperlink w:anchor="_ENREF_39" w:tooltip="Vlaanderen, 2008 #852" w:history="1">
        <w:r w:rsidR="004C59A6">
          <w:rPr>
            <w:noProof/>
            <w:lang w:val="en-GB"/>
          </w:rPr>
          <w:t>Vlaanderen et al., 2008</w:t>
        </w:r>
      </w:hyperlink>
      <w:r w:rsidR="00CA7A02">
        <w:rPr>
          <w:noProof/>
          <w:lang w:val="en-GB"/>
        </w:rPr>
        <w:t>)</w:t>
      </w:r>
      <w:r w:rsidR="00CA7A02">
        <w:rPr>
          <w:lang w:val="en-GB"/>
        </w:rPr>
        <w:fldChar w:fldCharType="end"/>
      </w:r>
      <w:r w:rsidRPr="1553EFF0">
        <w:rPr>
          <w:lang w:val="en-GB"/>
        </w:rPr>
        <w:t>.</w:t>
      </w:r>
    </w:p>
    <w:p w14:paraId="346CFE48" w14:textId="1A795E71" w:rsidR="49147941" w:rsidRDefault="31BD29FE" w:rsidP="6CC676FE">
      <w:pPr>
        <w:rPr>
          <w:lang w:val="en-GB"/>
        </w:rPr>
      </w:pPr>
      <w:r w:rsidRPr="1553EFF0">
        <w:rPr>
          <w:lang w:val="en-GB"/>
        </w:rPr>
        <w:t xml:space="preserve">For MDS, </w:t>
      </w:r>
      <w:r w:rsidR="00E11D54">
        <w:rPr>
          <w:lang w:val="en-GB"/>
        </w:rPr>
        <w:t>the International Agency for Research on Cancer</w:t>
      </w:r>
      <w:r w:rsidRPr="1553EFF0">
        <w:rPr>
          <w:lang w:val="en-GB"/>
        </w:rPr>
        <w:t xml:space="preserve"> (2018) made no formal assessment, though recent studies </w:t>
      </w:r>
      <w:r w:rsidR="00CA7A02">
        <w:rPr>
          <w:lang w:val="en-GB"/>
        </w:rPr>
        <w:fldChar w:fldCharType="begin">
          <w:fldData xml:space="preserve">PEVuZE5vdGU+PENpdGU+PEF1dGhvcj5MaW5ldDwvQXV0aG9yPjxZZWFyPjIwMTk8L1llYXI+PFJl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YmJyLTE+PC9hbHQtcGVyaW9kaWNhbD48cGFnZXM+MTcyNC0zNzwvcGFnZXM+PHZvbHVtZT4xMDQ8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</w:fldData>
        </w:fldChar>
      </w:r>
      <w:r w:rsidR="00CA7A02">
        <w:rPr>
          <w:lang w:val="en-GB"/>
        </w:rPr>
        <w:instrText xml:space="preserve"> ADDIN EN.CITE </w:instrText>
      </w:r>
      <w:r w:rsidR="00CA7A02">
        <w:rPr>
          <w:lang w:val="en-GB"/>
        </w:rPr>
        <w:fldChar w:fldCharType="begin">
          <w:fldData xml:space="preserve">PEVuZE5vdGU+PENpdGU+PEF1dGhvcj5MaW5ldDwvQXV0aG9yPjxZZWFyPjIwMTk8L1llYXI+PFJl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YmJyLTE+PC9hbHQtcGVyaW9kaWNhbD48cGFnZXM+MTcyNC0zNzwvcGFnZXM+PHZvbHVtZT4xMDQ8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</w:fldData>
        </w:fldChar>
      </w:r>
      <w:r w:rsidR="00CA7A02">
        <w:rPr>
          <w:lang w:val="en-GB"/>
        </w:rPr>
        <w:instrText xml:space="preserve"> ADDIN EN.CITE.DATA </w:instrText>
      </w:r>
      <w:r w:rsidR="00CA7A02">
        <w:rPr>
          <w:lang w:val="en-GB"/>
        </w:rPr>
      </w:r>
      <w:r w:rsidR="00CA7A02">
        <w:rPr>
          <w:lang w:val="en-GB"/>
        </w:rPr>
        <w:fldChar w:fldCharType="end"/>
      </w:r>
      <w:r w:rsidR="00CA7A02">
        <w:rPr>
          <w:lang w:val="en-GB"/>
        </w:rPr>
      </w:r>
      <w:r w:rsidR="00CA7A02">
        <w:rPr>
          <w:lang w:val="en-GB"/>
        </w:rPr>
        <w:fldChar w:fldCharType="separate"/>
      </w:r>
      <w:r w:rsidR="00CA7A02">
        <w:rPr>
          <w:noProof/>
          <w:lang w:val="en-GB"/>
        </w:rPr>
        <w:t>(</w:t>
      </w:r>
      <w:hyperlink w:anchor="_ENREF_11" w:tooltip="Copley, 2017 #574" w:history="1">
        <w:r w:rsidR="004C59A6">
          <w:rPr>
            <w:noProof/>
            <w:lang w:val="en-GB"/>
          </w:rPr>
          <w:t>Copley et al., 2017</w:t>
        </w:r>
      </w:hyperlink>
      <w:r w:rsidR="00CA7A02">
        <w:rPr>
          <w:noProof/>
          <w:lang w:val="en-GB"/>
        </w:rPr>
        <w:t xml:space="preserve">; </w:t>
      </w:r>
      <w:hyperlink w:anchor="_ENREF_22" w:tooltip="Linet, 2019 #1029" w:history="1">
        <w:r w:rsidR="004C59A6">
          <w:rPr>
            <w:noProof/>
            <w:lang w:val="en-GB"/>
          </w:rPr>
          <w:t>Linet et al., 2019</w:t>
        </w:r>
      </w:hyperlink>
      <w:r w:rsidR="00CA7A02">
        <w:rPr>
          <w:noProof/>
          <w:lang w:val="en-GB"/>
        </w:rPr>
        <w:t xml:space="preserve">; </w:t>
      </w:r>
      <w:hyperlink w:anchor="_ENREF_31" w:tooltip="Schnatter, 2012 #1" w:history="1">
        <w:r w:rsidR="004C59A6">
          <w:rPr>
            <w:noProof/>
            <w:lang w:val="en-GB"/>
          </w:rPr>
          <w:t>Schnatter et al., 2012</w:t>
        </w:r>
      </w:hyperlink>
      <w:r w:rsidR="00CA7A02">
        <w:rPr>
          <w:noProof/>
          <w:lang w:val="en-GB"/>
        </w:rPr>
        <w:t>)</w:t>
      </w:r>
      <w:r w:rsidR="00CA7A02">
        <w:rPr>
          <w:lang w:val="en-GB"/>
        </w:rPr>
        <w:fldChar w:fldCharType="end"/>
      </w:r>
      <w:r w:rsidR="0073116C">
        <w:rPr>
          <w:lang w:val="en-GB"/>
        </w:rPr>
        <w:t xml:space="preserve"> </w:t>
      </w:r>
      <w:r w:rsidRPr="1553EFF0">
        <w:rPr>
          <w:lang w:val="en-GB"/>
        </w:rPr>
        <w:t xml:space="preserve">have found positive relationships </w:t>
      </w:r>
      <w:r w:rsidR="18772DAE" w:rsidRPr="1553EFF0">
        <w:rPr>
          <w:lang w:val="en-GB"/>
        </w:rPr>
        <w:t xml:space="preserve">between benzene and </w:t>
      </w:r>
      <w:r w:rsidRPr="1553EFF0">
        <w:rPr>
          <w:lang w:val="en-GB"/>
        </w:rPr>
        <w:t>MDS, while Li</w:t>
      </w:r>
      <w:r w:rsidR="74909C38" w:rsidRPr="1553EFF0">
        <w:rPr>
          <w:lang w:val="en-GB"/>
        </w:rPr>
        <w:t xml:space="preserve"> and Schnatter </w:t>
      </w:r>
      <w:r w:rsidR="00CA7A02">
        <w:rPr>
          <w:lang w:val="en-GB"/>
        </w:rPr>
        <w:fldChar w:fldCharType="begin"/>
      </w:r>
      <w:r w:rsidR="00CA7A02">
        <w:rPr>
          <w:lang w:val="en-GB"/>
        </w:rPr>
        <w:instrText xml:space="preserve"> ADDIN EN.CITE &lt;EndNote&gt;&lt;Cite ExcludeAuth="1"&gt;&lt;Author&gt;Li&lt;/Author&gt;&lt;Year&gt;2018&lt;/Year&gt;&lt;RecNum&gt;1196&lt;/RecNum&gt;&lt;DisplayText&gt;(2018)&lt;/DisplayText&gt;&lt;record&gt;&lt;rec-number&gt;1196&lt;/rec-number&gt;&lt;foreign-keys&gt;&lt;key app="EN" db-id="0d0929f959rse9ex25rp09za5avf0ept9spf" timestamp="1592261743"&gt;1196&lt;/key&gt;&lt;/foreign-keys&gt;&lt;ref-type name="Journal Article"&gt;17&lt;/ref-type&gt;&lt;contributors&gt;&lt;authors&gt;&lt;author&gt;Li, Wenchao&lt;/author&gt;&lt;author&gt;Schnatter, A. Robert&lt;/author&gt;&lt;/authors&gt;&lt;/contributors&gt;&lt;titles&gt;&lt;title&gt;Benzene risk assessment: does new evidence on myelodysplastic syndrome justify a new approach?&lt;/title&gt;&lt;secondary-title&gt;Critical Reviews in Toxicology&lt;/secondary-title&gt;&lt;/titles&gt;&lt;periodical&gt;&lt;full-title&gt;Crit Rev Toxicol&lt;/full-title&gt;&lt;abbr-1&gt;Critical reviews in toxicology&lt;/abbr-1&gt;&lt;/periodical&gt;&lt;pages&gt;417-432&lt;/pages&gt;&lt;volume&gt;48&lt;/volume&gt;&lt;number&gt;6&lt;/number&gt;&lt;dates&gt;&lt;year&gt;2018&lt;/year&gt;&lt;pub-dates&gt;&lt;date&gt;2018/07/03&lt;/date&gt;&lt;/pub-dates&gt;&lt;/dates&gt;&lt;publisher&gt;Taylor &amp;amp; Francis&lt;/publisher&gt;&lt;isbn&gt;1040-8444&lt;/isbn&gt;&lt;urls&gt;&lt;related-urls&gt;&lt;url&gt;https://doi.org/10.1080/10408444.2018.1437389&lt;/url&gt;&lt;/related-urls&gt;&lt;/urls&gt;&lt;electronic-resource-num&gt;10.1080/10408444.2018.1437389&lt;/electronic-resource-num&gt;&lt;/record&gt;&lt;/Cite&gt;&lt;/EndNote&gt;</w:instrText>
      </w:r>
      <w:r w:rsidR="00CA7A02">
        <w:rPr>
          <w:lang w:val="en-GB"/>
        </w:rPr>
        <w:fldChar w:fldCharType="separate"/>
      </w:r>
      <w:r w:rsidR="00CA7A02">
        <w:rPr>
          <w:noProof/>
          <w:lang w:val="en-GB"/>
        </w:rPr>
        <w:t>(</w:t>
      </w:r>
      <w:hyperlink w:anchor="_ENREF_21" w:tooltip="Li, 2018 #1196" w:history="1">
        <w:r w:rsidR="004C59A6">
          <w:rPr>
            <w:noProof/>
            <w:lang w:val="en-GB"/>
          </w:rPr>
          <w:t>2018</w:t>
        </w:r>
      </w:hyperlink>
      <w:r w:rsidR="00CA7A02">
        <w:rPr>
          <w:noProof/>
          <w:lang w:val="en-GB"/>
        </w:rPr>
        <w:t>)</w:t>
      </w:r>
      <w:r w:rsidR="00CA7A02">
        <w:rPr>
          <w:lang w:val="en-GB"/>
        </w:rPr>
        <w:fldChar w:fldCharType="end"/>
      </w:r>
      <w:r w:rsidR="0073116C">
        <w:rPr>
          <w:lang w:val="en-GB"/>
        </w:rPr>
        <w:t xml:space="preserve"> </w:t>
      </w:r>
      <w:r w:rsidR="74909C38" w:rsidRPr="1553EFF0">
        <w:rPr>
          <w:lang w:val="en-GB"/>
        </w:rPr>
        <w:t>considered th</w:t>
      </w:r>
      <w:r w:rsidR="655EE54B" w:rsidRPr="1553EFF0">
        <w:rPr>
          <w:lang w:val="en-GB"/>
        </w:rPr>
        <w:t xml:space="preserve">at the evidence was sufficient to indicate causality. Yet few studies have used quantitative risk estimates </w:t>
      </w:r>
      <w:r w:rsidR="535DC0E1" w:rsidRPr="1553EFF0">
        <w:rPr>
          <w:lang w:val="en-GB"/>
        </w:rPr>
        <w:t xml:space="preserve">that allow formal statistical modelling. </w:t>
      </w:r>
      <w:r w:rsidR="1ADFB3AC" w:rsidRPr="1553EFF0">
        <w:rPr>
          <w:lang w:val="en-GB"/>
        </w:rPr>
        <w:t xml:space="preserve"> </w:t>
      </w:r>
      <w:r w:rsidR="4F67CF12" w:rsidRPr="1553EFF0">
        <w:rPr>
          <w:lang w:val="en-GB"/>
        </w:rPr>
        <w:t xml:space="preserve">Thus, MDS was not considered further in terms of quantitative risk projections. </w:t>
      </w:r>
    </w:p>
    <w:p w14:paraId="280AC203" w14:textId="0969FFB1" w:rsidR="49147941" w:rsidRDefault="49147941" w:rsidP="701D3CA4">
      <w:pPr>
        <w:rPr>
          <w:lang w:val="en-GB"/>
        </w:rPr>
      </w:pPr>
      <w:r w:rsidRPr="0DB996AC">
        <w:rPr>
          <w:lang w:val="en-GB"/>
        </w:rPr>
        <w:t xml:space="preserve">In the </w:t>
      </w:r>
      <w:r w:rsidR="1418D648" w:rsidRPr="0DB996AC">
        <w:rPr>
          <w:lang w:val="en-GB"/>
        </w:rPr>
        <w:t xml:space="preserve">benzene </w:t>
      </w:r>
      <w:r w:rsidRPr="0DB996AC">
        <w:rPr>
          <w:lang w:val="en-GB"/>
        </w:rPr>
        <w:t xml:space="preserve">studies </w:t>
      </w:r>
      <w:r w:rsidR="0DB09E1E" w:rsidRPr="0DB996AC">
        <w:rPr>
          <w:lang w:val="en-GB"/>
        </w:rPr>
        <w:t xml:space="preserve">with </w:t>
      </w:r>
      <w:r w:rsidR="2F705A6D" w:rsidRPr="0DB996AC">
        <w:rPr>
          <w:lang w:val="en-GB"/>
        </w:rPr>
        <w:t>leukaem</w:t>
      </w:r>
      <w:r w:rsidR="0DB09E1E" w:rsidRPr="0DB996AC">
        <w:rPr>
          <w:lang w:val="en-GB"/>
        </w:rPr>
        <w:t xml:space="preserve">ia subtype information that report </w:t>
      </w:r>
      <w:r w:rsidRPr="0DB996AC">
        <w:rPr>
          <w:lang w:val="en-GB"/>
        </w:rPr>
        <w:t xml:space="preserve">a statistically significant excess of </w:t>
      </w:r>
      <w:r w:rsidR="5484F74F" w:rsidRPr="0DB996AC">
        <w:rPr>
          <w:lang w:val="en-GB"/>
        </w:rPr>
        <w:t xml:space="preserve">total </w:t>
      </w:r>
      <w:r w:rsidR="00211A21" w:rsidRPr="0DB996AC">
        <w:rPr>
          <w:lang w:val="en-GB"/>
        </w:rPr>
        <w:t>leukaemia</w:t>
      </w:r>
      <w:r w:rsidR="5484F74F" w:rsidRPr="0DB996AC">
        <w:rPr>
          <w:lang w:val="en-GB"/>
        </w:rPr>
        <w:t xml:space="preserve">, </w:t>
      </w:r>
      <w:r w:rsidR="5B2EF050" w:rsidRPr="0DB996AC">
        <w:rPr>
          <w:lang w:val="en-GB"/>
        </w:rPr>
        <w:t xml:space="preserve">the excess </w:t>
      </w:r>
      <w:r w:rsidRPr="0DB996AC">
        <w:rPr>
          <w:lang w:val="en-GB"/>
        </w:rPr>
        <w:t xml:space="preserve">is </w:t>
      </w:r>
      <w:r w:rsidR="7B60F32E" w:rsidRPr="0DB996AC">
        <w:rPr>
          <w:lang w:val="en-GB"/>
        </w:rPr>
        <w:t xml:space="preserve">usually due to </w:t>
      </w:r>
      <w:r w:rsidRPr="0DB996AC">
        <w:rPr>
          <w:lang w:val="en-GB"/>
        </w:rPr>
        <w:t>AML or ANLL</w:t>
      </w:r>
      <w:r w:rsidR="6E54128B" w:rsidRPr="0DB996AC">
        <w:rPr>
          <w:lang w:val="en-GB"/>
        </w:rPr>
        <w:t xml:space="preserve"> </w:t>
      </w:r>
      <w:r w:rsidR="001F3BB4">
        <w:rPr>
          <w:lang w:val="en-GB"/>
        </w:rPr>
        <w:fldChar w:fldCharType="begin">
          <w:fldData xml:space="preserve">PEVuZE5vdGU+PENpdGU+PEF1dGhvcj5DcnVtcDwvQXV0aG9yPjxZZWFyPjE5OTQ8L1llYXI+PFJl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=
</w:fldData>
        </w:fldChar>
      </w:r>
      <w:r w:rsidR="001F3BB4">
        <w:rPr>
          <w:lang w:val="en-GB"/>
        </w:rPr>
        <w:instrText xml:space="preserve"> ADDIN EN.CITE </w:instrText>
      </w:r>
      <w:r w:rsidR="001F3BB4">
        <w:rPr>
          <w:lang w:val="en-GB"/>
        </w:rPr>
        <w:fldChar w:fldCharType="begin">
          <w:fldData xml:space="preserve">PEVuZE5vdGU+PENpdGU+PEF1dGhvcj5DcnVtcDwvQXV0aG9yPjxZZWFyPjE5OTQ8L1llYXI+PFJl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=
</w:fldData>
        </w:fldChar>
      </w:r>
      <w:r w:rsidR="001F3BB4">
        <w:rPr>
          <w:lang w:val="en-GB"/>
        </w:rPr>
        <w:instrText xml:space="preserve"> ADDIN EN.CITE.DATA </w:instrText>
      </w:r>
      <w:r w:rsidR="001F3BB4">
        <w:rPr>
          <w:lang w:val="en-GB"/>
        </w:rPr>
      </w:r>
      <w:r w:rsidR="001F3BB4">
        <w:rPr>
          <w:lang w:val="en-GB"/>
        </w:rPr>
        <w:fldChar w:fldCharType="end"/>
      </w:r>
      <w:r w:rsidR="001F3BB4">
        <w:rPr>
          <w:lang w:val="en-GB"/>
        </w:rPr>
      </w:r>
      <w:r w:rsidR="001F3BB4">
        <w:rPr>
          <w:lang w:val="en-GB"/>
        </w:rPr>
        <w:fldChar w:fldCharType="separate"/>
      </w:r>
      <w:r w:rsidR="001F3BB4">
        <w:rPr>
          <w:noProof/>
          <w:lang w:val="en-GB"/>
        </w:rPr>
        <w:t>(</w:t>
      </w:r>
      <w:hyperlink w:anchor="_ENREF_12" w:tooltip="Crump, 1994 #706" w:history="1">
        <w:r w:rsidR="004C59A6">
          <w:rPr>
            <w:noProof/>
            <w:lang w:val="en-GB"/>
          </w:rPr>
          <w:t>Crump, 1994</w:t>
        </w:r>
      </w:hyperlink>
      <w:r w:rsidR="001F3BB4">
        <w:rPr>
          <w:noProof/>
          <w:lang w:val="en-GB"/>
        </w:rPr>
        <w:t xml:space="preserve">; </w:t>
      </w:r>
      <w:hyperlink w:anchor="_ENREF_14" w:tooltip="Glass, 2005 #982" w:history="1">
        <w:r w:rsidR="004C59A6">
          <w:rPr>
            <w:noProof/>
            <w:lang w:val="en-GB"/>
          </w:rPr>
          <w:t>Glass et al., 2005</w:t>
        </w:r>
      </w:hyperlink>
      <w:r w:rsidR="001F3BB4">
        <w:rPr>
          <w:noProof/>
          <w:lang w:val="en-GB"/>
        </w:rPr>
        <w:t xml:space="preserve">; </w:t>
      </w:r>
      <w:hyperlink w:anchor="_ENREF_22" w:tooltip="Linet, 2019 #1029" w:history="1">
        <w:r w:rsidR="004C59A6">
          <w:rPr>
            <w:noProof/>
            <w:lang w:val="en-GB"/>
          </w:rPr>
          <w:t>Linet et al., 2019</w:t>
        </w:r>
      </w:hyperlink>
      <w:r w:rsidR="001F3BB4">
        <w:rPr>
          <w:noProof/>
          <w:lang w:val="en-GB"/>
        </w:rPr>
        <w:t xml:space="preserve">; </w:t>
      </w:r>
      <w:hyperlink w:anchor="_ENREF_25" w:tooltip="Rhomberg, 2016 #672" w:history="1">
        <w:r w:rsidR="004C59A6">
          <w:rPr>
            <w:noProof/>
            <w:lang w:val="en-GB"/>
          </w:rPr>
          <w:t>Rhomberg et al., 2016</w:t>
        </w:r>
      </w:hyperlink>
      <w:r w:rsidR="001F3BB4">
        <w:rPr>
          <w:noProof/>
          <w:lang w:val="en-GB"/>
        </w:rPr>
        <w:t xml:space="preserve">; </w:t>
      </w:r>
      <w:hyperlink w:anchor="_ENREF_43" w:tooltip="Wong, 2010 #564" w:history="1">
        <w:r w:rsidR="004C59A6">
          <w:rPr>
            <w:noProof/>
            <w:lang w:val="en-GB"/>
          </w:rPr>
          <w:t>Wong et al., 2010</w:t>
        </w:r>
      </w:hyperlink>
      <w:r w:rsidR="001F3BB4">
        <w:rPr>
          <w:noProof/>
          <w:lang w:val="en-GB"/>
        </w:rPr>
        <w:t>)</w:t>
      </w:r>
      <w:r w:rsidR="001F3BB4">
        <w:rPr>
          <w:lang w:val="en-GB"/>
        </w:rPr>
        <w:fldChar w:fldCharType="end"/>
      </w:r>
      <w:r w:rsidR="10F67C0C" w:rsidRPr="0DB996AC">
        <w:rPr>
          <w:lang w:val="en-GB"/>
        </w:rPr>
        <w:t xml:space="preserve">. </w:t>
      </w:r>
      <w:r w:rsidRPr="0DB996AC">
        <w:rPr>
          <w:lang w:val="en-GB"/>
        </w:rPr>
        <w:t>Less frequently, but consistent with dose-response and statistical significance</w:t>
      </w:r>
      <w:r w:rsidRPr="0DB996AC">
        <w:rPr>
          <w:color w:val="FF0000"/>
          <w:lang w:val="en-GB"/>
        </w:rPr>
        <w:t xml:space="preserve">, is </w:t>
      </w:r>
      <w:r w:rsidRPr="0DB996AC">
        <w:rPr>
          <w:lang w:val="en-GB"/>
        </w:rPr>
        <w:t>MDS</w:t>
      </w:r>
      <w:r w:rsidRPr="0DB996AC">
        <w:rPr>
          <w:color w:val="FF0000"/>
          <w:lang w:val="en-GB"/>
        </w:rPr>
        <w:t xml:space="preserve"> </w:t>
      </w:r>
      <w:r w:rsidRPr="0DB996AC">
        <w:rPr>
          <w:lang w:val="en-GB"/>
        </w:rPr>
        <w:t>identified</w:t>
      </w:r>
      <w:r w:rsidR="6D338FB6" w:rsidRPr="0DB996AC">
        <w:rPr>
          <w:lang w:val="en-GB"/>
        </w:rPr>
        <w:t xml:space="preserve"> </w:t>
      </w:r>
      <w:r w:rsidR="001F3BB4">
        <w:rPr>
          <w:lang w:val="en-GB"/>
        </w:rPr>
        <w:fldChar w:fldCharType="begin">
          <w:fldData xml:space="preserve">PEVuZE5vdGU+PENpdGU+PEF1dGhvcj5Db3BsZXk8L0F1dGhvcj48WWVhcj4yMDE3PC9ZZWFyPjxS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YmJyLTE+PC9hbHQtcGVyaW9kaWNhbD48cGFnZXM+MTcyNC0zNzwvcGFnZXM+PHZvbHVtZT4xMDQ8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</w:fldData>
        </w:fldChar>
      </w:r>
      <w:r w:rsidR="001F3BB4">
        <w:rPr>
          <w:lang w:val="en-GB"/>
        </w:rPr>
        <w:instrText xml:space="preserve"> ADDIN EN.CITE </w:instrText>
      </w:r>
      <w:r w:rsidR="001F3BB4">
        <w:rPr>
          <w:lang w:val="en-GB"/>
        </w:rPr>
        <w:fldChar w:fldCharType="begin">
          <w:fldData xml:space="preserve">PEVuZE5vdGU+PENpdGU+PEF1dGhvcj5Db3BsZXk8L0F1dGhvcj48WWVhcj4yMDE3PC9ZZWFyPjxS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YmJyLTE+PC9hbHQtcGVyaW9kaWNhbD48cGFnZXM+MTcyNC0zNzwvcGFnZXM+PHZvbHVtZT4xMDQ8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</w:fldData>
        </w:fldChar>
      </w:r>
      <w:r w:rsidR="001F3BB4">
        <w:rPr>
          <w:lang w:val="en-GB"/>
        </w:rPr>
        <w:instrText xml:space="preserve"> ADDIN EN.CITE.DATA </w:instrText>
      </w:r>
      <w:r w:rsidR="001F3BB4">
        <w:rPr>
          <w:lang w:val="en-GB"/>
        </w:rPr>
      </w:r>
      <w:r w:rsidR="001F3BB4">
        <w:rPr>
          <w:lang w:val="en-GB"/>
        </w:rPr>
        <w:fldChar w:fldCharType="end"/>
      </w:r>
      <w:r w:rsidR="001F3BB4">
        <w:rPr>
          <w:lang w:val="en-GB"/>
        </w:rPr>
      </w:r>
      <w:r w:rsidR="001F3BB4">
        <w:rPr>
          <w:lang w:val="en-GB"/>
        </w:rPr>
        <w:fldChar w:fldCharType="separate"/>
      </w:r>
      <w:r w:rsidR="001F3BB4">
        <w:rPr>
          <w:noProof/>
          <w:lang w:val="en-GB"/>
        </w:rPr>
        <w:t>(</w:t>
      </w:r>
      <w:hyperlink w:anchor="_ENREF_11" w:tooltip="Copley, 2017 #574" w:history="1">
        <w:r w:rsidR="004C59A6">
          <w:rPr>
            <w:noProof/>
            <w:lang w:val="en-GB"/>
          </w:rPr>
          <w:t>Copley et al., 2017</w:t>
        </w:r>
      </w:hyperlink>
      <w:r w:rsidR="001F3BB4">
        <w:rPr>
          <w:noProof/>
          <w:lang w:val="en-GB"/>
        </w:rPr>
        <w:t xml:space="preserve">; </w:t>
      </w:r>
      <w:hyperlink w:anchor="_ENREF_22" w:tooltip="Linet, 2019 #1029" w:history="1">
        <w:r w:rsidR="004C59A6">
          <w:rPr>
            <w:noProof/>
            <w:lang w:val="en-GB"/>
          </w:rPr>
          <w:t>Linet et al., 2019</w:t>
        </w:r>
      </w:hyperlink>
      <w:r w:rsidR="001F3BB4">
        <w:rPr>
          <w:noProof/>
          <w:lang w:val="en-GB"/>
        </w:rPr>
        <w:t xml:space="preserve">; </w:t>
      </w:r>
      <w:hyperlink w:anchor="_ENREF_31" w:tooltip="Schnatter, 2012 #1" w:history="1">
        <w:r w:rsidR="004C59A6">
          <w:rPr>
            <w:noProof/>
            <w:lang w:val="en-GB"/>
          </w:rPr>
          <w:t>Schnatter et al., 2012</w:t>
        </w:r>
      </w:hyperlink>
      <w:r w:rsidR="001F3BB4">
        <w:rPr>
          <w:noProof/>
          <w:lang w:val="en-GB"/>
        </w:rPr>
        <w:t>)</w:t>
      </w:r>
      <w:r w:rsidR="001F3BB4">
        <w:rPr>
          <w:lang w:val="en-GB"/>
        </w:rPr>
        <w:fldChar w:fldCharType="end"/>
      </w:r>
      <w:r w:rsidRPr="0DB996AC">
        <w:rPr>
          <w:lang w:val="en-GB"/>
        </w:rPr>
        <w:t>. This may further emphasize the myeloid character of benzene leukaemogenicity, as a significant fraction of MDS cases progress to AML. It is plausible that the aetiology of benzene-induced AML may include a subclinical stage manifesting as MDS before it progresses to AML.</w:t>
      </w:r>
    </w:p>
    <w:p w14:paraId="267A49AA" w14:textId="03B65280" w:rsidR="095D5704" w:rsidRDefault="095D5704" w:rsidP="6CC676FE">
      <w:pPr>
        <w:rPr>
          <w:lang w:val="en-GB"/>
        </w:rPr>
      </w:pPr>
      <w:r w:rsidRPr="3CD43A38">
        <w:rPr>
          <w:lang w:val="en-GB"/>
        </w:rPr>
        <w:t xml:space="preserve">While some argue that risk assessment should be based on total </w:t>
      </w:r>
      <w:r w:rsidR="3BEBCC74" w:rsidRPr="3CD43A38">
        <w:rPr>
          <w:lang w:val="en-GB"/>
        </w:rPr>
        <w:t>leukaem</w:t>
      </w:r>
      <w:r w:rsidRPr="3CD43A38">
        <w:rPr>
          <w:lang w:val="en-GB"/>
        </w:rPr>
        <w:t xml:space="preserve">ia since </w:t>
      </w:r>
      <w:r w:rsidR="78E2C04F" w:rsidRPr="3CD43A38">
        <w:rPr>
          <w:lang w:val="en-GB"/>
        </w:rPr>
        <w:t xml:space="preserve">it is possible that other leukaemia cell types are related to benzene, </w:t>
      </w:r>
      <w:r w:rsidR="45376E9B" w:rsidRPr="3CD43A38">
        <w:rPr>
          <w:lang w:val="en-GB"/>
        </w:rPr>
        <w:t>our preference is to base models on proven causal relationships</w:t>
      </w:r>
      <w:r w:rsidR="66643C84" w:rsidRPr="3CD43A38">
        <w:rPr>
          <w:lang w:val="en-GB"/>
        </w:rPr>
        <w:t xml:space="preserve">. </w:t>
      </w:r>
      <w:r w:rsidR="5C83D364" w:rsidRPr="3CD43A38">
        <w:rPr>
          <w:lang w:val="en-GB"/>
        </w:rPr>
        <w:t xml:space="preserve">If we call AML cases “x” and non-AML cases “y”, and aim to examine whether “y” has a relationship with benzene, it is fruitless to examine the relationship between </w:t>
      </w:r>
      <w:r w:rsidR="040E93B4" w:rsidRPr="3CD43A38">
        <w:rPr>
          <w:lang w:val="en-GB"/>
        </w:rPr>
        <w:t xml:space="preserve">total </w:t>
      </w:r>
      <w:r w:rsidR="00211A21" w:rsidRPr="3CD43A38">
        <w:rPr>
          <w:lang w:val="en-GB"/>
        </w:rPr>
        <w:t>leukaemia</w:t>
      </w:r>
      <w:r w:rsidR="040E93B4" w:rsidRPr="3CD43A38">
        <w:rPr>
          <w:lang w:val="en-GB"/>
        </w:rPr>
        <w:t xml:space="preserve"> </w:t>
      </w:r>
      <w:r w:rsidR="5C83D364" w:rsidRPr="3CD43A38">
        <w:rPr>
          <w:lang w:val="en-GB"/>
        </w:rPr>
        <w:t>(x+y) and benzene, which is frequently done. Models that are based on all leukaemia, rather than AML, are much more likely to include cases not related to benzene exposure.  This would, in effect, assign incidental, likely lower exposure to benzene’s potency estimate, obscuring empirical thresholds. These non-AML lower</w:t>
      </w:r>
      <w:r w:rsidR="6FFBD35C" w:rsidRPr="3CD43A38">
        <w:rPr>
          <w:lang w:val="en-GB"/>
        </w:rPr>
        <w:t>-</w:t>
      </w:r>
      <w:r w:rsidR="5C83D364" w:rsidRPr="3CD43A38">
        <w:rPr>
          <w:lang w:val="en-GB"/>
        </w:rPr>
        <w:t xml:space="preserve">exposed cases, combined with the more highly exposed AML cases, give the misleading appearance of a smooth dose response for total leukaemia, although it is obvious that two different signals are being assessed when the AML dose response is compared to the non-AML dose response.  In order to illustrate, </w:t>
      </w:r>
      <w:r w:rsidRPr="3CD43A38">
        <w:rPr>
          <w:lang w:val="en-GB"/>
        </w:rPr>
        <w:fldChar w:fldCharType="begin"/>
      </w:r>
      <w:r w:rsidRPr="3CD43A38">
        <w:rPr>
          <w:lang w:val="en-GB"/>
        </w:rPr>
        <w:instrText xml:space="preserve"> ADDIN EN.CITE &lt;EndNote&gt;&lt;Cite AuthorYear="1"&gt;&lt;Author&gt;Crump&lt;/Author&gt;&lt;Year&gt;1994&lt;/Year&gt;&lt;RecNum&gt;706&lt;/RecNum&gt;&lt;DisplayText&gt;Crump (1994)&lt;/DisplayText&gt;&lt;record&gt;&lt;rec-number&gt;706&lt;/rec-number&gt;&lt;foreign-keys&gt;&lt;key app="EN" db-id="0d0929f959rse9ex25rp09za5avf0ept9spf" timestamp="1503087137"&gt;706&lt;/key&gt;&lt;/foreign-keys&gt;&lt;ref-type name="Journal Article"&gt;17&lt;/ref-type&gt;&lt;contributors&gt;&lt;authors&gt;&lt;author&gt;Crump, Kenny S&lt;/author&gt;&lt;/authors&gt;&lt;/contributors&gt;&lt;titles&gt;&lt;title&gt;Risk of benzene‐induced leukemia: A sensitivity analysis of the pliofilm cohort with additional follow‐up and new exposure estimates&lt;/title&gt;&lt;secondary-title&gt;Journal of Toxicology and Environmental Health, Part A Current Issues&lt;/secondary-title&gt;&lt;/titles&gt;&lt;periodical&gt;&lt;full-title&gt;Journal of Toxicology and Environmental Health, Part A Current Issues&lt;/full-title&gt;&lt;/periodical&gt;&lt;pages&gt;219-242&lt;/pages&gt;&lt;volume&gt;42&lt;/volume&gt;&lt;number&gt;2&lt;/number&gt;&lt;dates&gt;&lt;year&gt;1994&lt;/year&gt;&lt;/dates&gt;&lt;isbn&gt;0098-4108&lt;/isbn&gt;&lt;urls&gt;&lt;/urls&gt;&lt;/record&gt;&lt;/Cite&gt;&lt;/EndNote&gt;</w:instrText>
      </w:r>
      <w:r w:rsidRPr="3CD43A38">
        <w:rPr>
          <w:lang w:val="en-GB"/>
        </w:rPr>
        <w:fldChar w:fldCharType="separate"/>
      </w:r>
      <w:r w:rsidR="004C59A6" w:rsidRPr="3CD43A38">
        <w:rPr>
          <w:noProof/>
          <w:lang w:val="en-GB"/>
        </w:rPr>
        <w:t>Crump (1994)</w:t>
      </w:r>
      <w:r w:rsidRPr="3CD43A38">
        <w:rPr>
          <w:lang w:val="en-GB"/>
        </w:rPr>
        <w:fldChar w:fldCharType="end"/>
      </w:r>
      <w:r w:rsidR="00683F9C" w:rsidRPr="3CD43A38">
        <w:rPr>
          <w:lang w:val="en-GB"/>
        </w:rPr>
        <w:t xml:space="preserve"> </w:t>
      </w:r>
      <w:r w:rsidR="5C83D364" w:rsidRPr="3CD43A38">
        <w:rPr>
          <w:lang w:val="en-GB"/>
        </w:rPr>
        <w:t>fit several statistical models to the Pliofilm cohort data</w:t>
      </w:r>
      <w:r w:rsidR="2DB5DBD1" w:rsidRPr="3CD43A38">
        <w:rPr>
          <w:lang w:val="en-GB"/>
        </w:rPr>
        <w:t xml:space="preserve">. Despite similar results </w:t>
      </w:r>
      <w:r w:rsidR="0CBC57DF" w:rsidRPr="3CD43A38">
        <w:rPr>
          <w:lang w:val="en-GB"/>
        </w:rPr>
        <w:t xml:space="preserve">(in terms of potency estimates) </w:t>
      </w:r>
      <w:r w:rsidR="2DB5DBD1" w:rsidRPr="3CD43A38">
        <w:rPr>
          <w:lang w:val="en-GB"/>
        </w:rPr>
        <w:t xml:space="preserve">for </w:t>
      </w:r>
      <w:r w:rsidR="5C83D364" w:rsidRPr="3CD43A38">
        <w:rPr>
          <w:lang w:val="en-GB"/>
        </w:rPr>
        <w:t xml:space="preserve">all leukaemia </w:t>
      </w:r>
      <w:r w:rsidR="137BD8C7" w:rsidRPr="3CD43A38">
        <w:rPr>
          <w:lang w:val="en-GB"/>
        </w:rPr>
        <w:t xml:space="preserve">versus </w:t>
      </w:r>
      <w:r w:rsidR="5C83D364" w:rsidRPr="3CD43A38">
        <w:rPr>
          <w:lang w:val="en-GB"/>
        </w:rPr>
        <w:t xml:space="preserve">AML </w:t>
      </w:r>
      <w:r w:rsidR="6989D604" w:rsidRPr="3CD43A38">
        <w:rPr>
          <w:lang w:val="en-GB"/>
        </w:rPr>
        <w:t>only, there was no relationship between benzene and non-AM</w:t>
      </w:r>
      <w:r w:rsidR="78895772" w:rsidRPr="3CD43A38">
        <w:rPr>
          <w:lang w:val="en-GB"/>
        </w:rPr>
        <w:t>L</w:t>
      </w:r>
      <w:r w:rsidR="6989D604" w:rsidRPr="3CD43A38">
        <w:rPr>
          <w:lang w:val="en-GB"/>
        </w:rPr>
        <w:t xml:space="preserve"> </w:t>
      </w:r>
      <w:r w:rsidR="4C0FCD6A" w:rsidRPr="3CD43A38">
        <w:rPr>
          <w:lang w:val="en-GB"/>
        </w:rPr>
        <w:t>leukaem</w:t>
      </w:r>
      <w:r w:rsidR="6989D604" w:rsidRPr="3CD43A38">
        <w:rPr>
          <w:lang w:val="en-GB"/>
        </w:rPr>
        <w:t xml:space="preserve">ias. </w:t>
      </w:r>
      <w:r w:rsidR="5C83D364" w:rsidRPr="3CD43A38">
        <w:rPr>
          <w:lang w:val="en-GB"/>
        </w:rPr>
        <w:t>Thus, using the Pliofilm data on total leuk</w:t>
      </w:r>
      <w:r w:rsidR="00211A21" w:rsidRPr="3CD43A38">
        <w:rPr>
          <w:lang w:val="en-GB"/>
        </w:rPr>
        <w:t>a</w:t>
      </w:r>
      <w:r w:rsidR="5C83D364" w:rsidRPr="3CD43A38">
        <w:rPr>
          <w:lang w:val="en-GB"/>
        </w:rPr>
        <w:t>emias could artificially result in similar potency estimates (rather than ‘dilute’ the AML dose response), and would unequivocally obscure empirical thresholds.  In addition, it would attribute more leukaemia cases to benzene exposure, despite the lack of a dose-response relationship for the non-AML cases.</w:t>
      </w:r>
    </w:p>
    <w:p w14:paraId="48E554E9" w14:textId="76E34A1F" w:rsidR="49147941" w:rsidRDefault="49147941" w:rsidP="701D3CA4">
      <w:pPr>
        <w:rPr>
          <w:lang w:val="en-GB"/>
        </w:rPr>
      </w:pPr>
      <w:r w:rsidRPr="6CC676FE">
        <w:rPr>
          <w:lang w:val="en-GB"/>
        </w:rPr>
        <w:t>Lymphohematopoietic neoplasms other than forms of, or precursor conditions related to, AML (</w:t>
      </w:r>
      <w:r w:rsidRPr="6CC676FE">
        <w:rPr>
          <w:i/>
          <w:iCs/>
          <w:lang w:val="en-GB"/>
        </w:rPr>
        <w:t>i.e.,</w:t>
      </w:r>
      <w:r w:rsidRPr="6CC676FE">
        <w:rPr>
          <w:lang w:val="en-GB"/>
        </w:rPr>
        <w:t xml:space="preserve"> NHL, MM, </w:t>
      </w:r>
      <w:r w:rsidR="00211A21" w:rsidRPr="6CC676FE">
        <w:rPr>
          <w:lang w:val="en-GB"/>
        </w:rPr>
        <w:t>and CLL</w:t>
      </w:r>
      <w:r w:rsidRPr="6CC676FE">
        <w:rPr>
          <w:lang w:val="en-GB"/>
        </w:rPr>
        <w:t>) are inconsistently observed in association with benzene when considered in the light of dose-response or statistical significance</w:t>
      </w:r>
      <w:r w:rsidR="5EAABA44" w:rsidRPr="6CC676FE">
        <w:rPr>
          <w:lang w:val="en-GB"/>
        </w:rPr>
        <w:t xml:space="preserve"> (Steinmaus et al., 2008; Alexander et al. 2010)</w:t>
      </w:r>
      <w:r w:rsidRPr="6CC676FE">
        <w:rPr>
          <w:lang w:val="en-GB"/>
        </w:rPr>
        <w:t xml:space="preserve">. The difference in relative strength of evidence may be highlighted in the most recent IARC evaluation of benzene in 2018 </w:t>
      </w:r>
      <w:r w:rsidR="002D2F9E">
        <w:rPr>
          <w:lang w:val="en-GB"/>
        </w:rPr>
        <w:fldChar w:fldCharType="begin"/>
      </w:r>
      <w:r w:rsidR="002D2F9E">
        <w:rPr>
          <w:lang w:val="en-GB"/>
        </w:rPr>
        <w:instrText xml:space="preserve"> ADDIN EN.CITE &lt;EndNote&gt;&lt;Cite&gt;&lt;Author&gt;International Agency for Research on Cancer&lt;/Author&gt;&lt;Year&gt;2018&lt;/Year&gt;&lt;RecNum&gt;1007&lt;/RecNum&gt;&lt;DisplayText&gt;(International Agency for Research on Cancer, 2018)&lt;/DisplayText&gt;&lt;record&gt;&lt;rec-number&gt;1007&lt;/rec-number&gt;&lt;foreign-keys&gt;&lt;key app="EN" db-id="0d0929f959rse9ex25rp09za5avf0ept9spf" timestamp="1563364208"&gt;1007&lt;/key&gt;&lt;/foreign-keys&gt;&lt;ref-type name="Book"&gt;6&lt;/ref-type&gt;&lt;contributors&gt;&lt;authors&gt;&lt;author&gt;International Agency for Research on Cancer,&lt;/author&gt;&lt;/authors&gt;&lt;/contributors&gt;&lt;titles&gt;&lt;title&gt;Benzene&lt;/title&gt;&lt;secondary-title&gt; IARC Working Group on the Evaluation of Carcinogenic Risks to Humans&lt;/secondary-title&gt;&lt;/titles&gt;&lt;pages&gt;301&lt;/pages&gt;&lt;volume&gt;120&lt;/volume&gt;&lt;number&gt;120&lt;/number&gt;&lt;dates&gt;&lt;year&gt;2018&lt;/year&gt;&lt;/dates&gt;&lt;publisher&gt;International Agency for Research on Cancer&lt;/publisher&gt;&lt;isbn&gt;978-92-832-0187-8&lt;/isbn&gt;&lt;urls&gt;&lt;/urls&gt;&lt;/record&gt;&lt;/Cite&gt;&lt;/EndNote&gt;</w:instrText>
      </w:r>
      <w:r w:rsidR="002D2F9E">
        <w:rPr>
          <w:lang w:val="en-GB"/>
        </w:rPr>
        <w:fldChar w:fldCharType="separate"/>
      </w:r>
      <w:r w:rsidR="002D2F9E">
        <w:rPr>
          <w:noProof/>
          <w:lang w:val="en-GB"/>
        </w:rPr>
        <w:t>(</w:t>
      </w:r>
      <w:hyperlink w:anchor="_ENREF_19" w:tooltip="International Agency for Research on Cancer, 2018 #1007" w:history="1">
        <w:r w:rsidR="004C59A6">
          <w:rPr>
            <w:noProof/>
            <w:lang w:val="en-GB"/>
          </w:rPr>
          <w:t>International Agency for Research on Cancer, 2018</w:t>
        </w:r>
      </w:hyperlink>
      <w:r w:rsidR="002D2F9E">
        <w:rPr>
          <w:noProof/>
          <w:lang w:val="en-GB"/>
        </w:rPr>
        <w:t>)</w:t>
      </w:r>
      <w:r w:rsidR="002D2F9E">
        <w:rPr>
          <w:lang w:val="en-GB"/>
        </w:rPr>
        <w:fldChar w:fldCharType="end"/>
      </w:r>
      <w:r w:rsidRPr="6CC676FE">
        <w:rPr>
          <w:lang w:val="en-GB"/>
        </w:rPr>
        <w:t xml:space="preserve">, in which they reported “the findings fully supported the previous conclusion that benzene causes ANLL – including AML – in adults, as well as the previous observations of limited evidence for chronic lymphocytic leukaemia, non-Hodgkin lymphoma, and multiple myeloma.” Other neoplasms (CML and lung cancer) were also considered by IARC, but also judged to be limited with regard to evidence. Given the strength of evidence favours association of benzene and AML, </w:t>
      </w:r>
      <w:r w:rsidR="7CAEB898" w:rsidRPr="6CC676FE">
        <w:rPr>
          <w:lang w:val="en-GB"/>
        </w:rPr>
        <w:t xml:space="preserve">our </w:t>
      </w:r>
      <w:r w:rsidRPr="6CC676FE">
        <w:rPr>
          <w:lang w:val="en-GB"/>
        </w:rPr>
        <w:t xml:space="preserve">focus </w:t>
      </w:r>
      <w:r w:rsidR="662D63B6" w:rsidRPr="6CC676FE">
        <w:rPr>
          <w:lang w:val="en-GB"/>
        </w:rPr>
        <w:t xml:space="preserve">is on </w:t>
      </w:r>
      <w:r w:rsidRPr="6CC676FE">
        <w:rPr>
          <w:lang w:val="en-GB"/>
        </w:rPr>
        <w:t xml:space="preserve">dose-response assessment </w:t>
      </w:r>
      <w:r w:rsidR="3650867B" w:rsidRPr="6CC676FE">
        <w:rPr>
          <w:lang w:val="en-GB"/>
        </w:rPr>
        <w:t>for</w:t>
      </w:r>
      <w:r w:rsidRPr="6CC676FE">
        <w:rPr>
          <w:lang w:val="en-GB"/>
        </w:rPr>
        <w:t xml:space="preserve"> AML. </w:t>
      </w:r>
    </w:p>
    <w:p w14:paraId="02697DFC" w14:textId="0295BB43" w:rsidR="49147941" w:rsidRDefault="49147941" w:rsidP="000D1BF3">
      <w:pPr>
        <w:ind w:firstLine="720"/>
        <w:rPr>
          <w:lang w:val="en-GB"/>
        </w:rPr>
      </w:pPr>
      <w:r w:rsidRPr="701D3CA4">
        <w:rPr>
          <w:i/>
          <w:iCs/>
          <w:lang w:val="en-GB"/>
        </w:rPr>
        <w:t>Lag Period</w:t>
      </w:r>
    </w:p>
    <w:p w14:paraId="0474422D" w14:textId="4B24BE4A" w:rsidR="701D3CA4" w:rsidRDefault="1E68BFF1" w:rsidP="6CC676FE">
      <w:pPr>
        <w:rPr>
          <w:lang w:val="en-GB"/>
        </w:rPr>
      </w:pPr>
      <w:r w:rsidRPr="6CC676FE">
        <w:rPr>
          <w:lang w:val="en-GB"/>
        </w:rPr>
        <w:t>Time windows of exposure may have important implications for exposure response modelling of cancer risk from benzene. If benzene cancer risk is attributable to primarily recent (&lt;10 years) exposure, then models that treat exposure from all time periods with equal weight may misestimate the risk. However, it may remain relevant for benefit estimation for policy makers, and thus may be a topic worthy of future research.</w:t>
      </w:r>
    </w:p>
    <w:p w14:paraId="04ED93F5" w14:textId="3D28E500" w:rsidR="7A4B595D" w:rsidRPr="00683F9C" w:rsidRDefault="7A4B595D" w:rsidP="00683F9C">
      <w:pPr>
        <w:rPr>
          <w:lang w:val="en-GB"/>
        </w:rPr>
      </w:pPr>
      <w:r w:rsidRPr="6CC676FE">
        <w:rPr>
          <w:lang w:val="en-GB"/>
        </w:rPr>
        <w:t xml:space="preserve">One noteworthy study of the lag period is Richardson (2008), who examined cases in the </w:t>
      </w:r>
      <w:r w:rsidR="371E9CA4" w:rsidRPr="6CC676FE">
        <w:rPr>
          <w:lang w:val="en-GB"/>
        </w:rPr>
        <w:t xml:space="preserve">Pliofilm cohort (Rinsky et al., 2002). </w:t>
      </w:r>
      <w:r w:rsidR="65361891" w:rsidRPr="00683F9C">
        <w:rPr>
          <w:lang w:val="en-GB"/>
        </w:rPr>
        <w:t xml:space="preserve">The analysis reported that a model employing three exposure time windows (&lt;10 years, 10 - &lt;20 years, and 20+ years) fit the data much better than a lifetime cumulative risk model. The three periods showed that leukaemia risk was significantly high in the most recent 10 years prior to death or withdrawal (RR = 1.19 per 10 ppm-years) and was somewhat raised but not significantly in the 10-20 year exposure window (RR = 1.05 per 10 ppm-years). Exposure received in an exposure window of more than 20 years showed no association with leukaemia. </w:t>
      </w:r>
    </w:p>
    <w:p w14:paraId="213E72F6" w14:textId="5F64CA56" w:rsidR="4402EE7F" w:rsidRDefault="4402EE7F">
      <w:pPr>
        <w:rPr>
          <w:lang w:val="en-GB"/>
        </w:rPr>
      </w:pPr>
      <w:r w:rsidRPr="00683F9C">
        <w:rPr>
          <w:lang w:val="en-GB"/>
        </w:rPr>
        <w:t xml:space="preserve">Hayes et al (1997) reported similar results when studying benzene-exposed workers from several industries in China. </w:t>
      </w:r>
      <w:r w:rsidR="7EBA5E5A" w:rsidRPr="00683F9C">
        <w:rPr>
          <w:lang w:val="en-GB"/>
        </w:rPr>
        <w:t>Notably</w:t>
      </w:r>
      <w:r w:rsidRPr="00683F9C">
        <w:rPr>
          <w:lang w:val="en-GB"/>
        </w:rPr>
        <w:t>, the risk of ANLL/MDS was significantly related to benzene exposure in a 1.5 to 10 year exposure window previous to diagnosis (p=0.003), but showed no relationship to “distant” exposure more than 10 years prior to diagnosis (p=0.51).</w:t>
      </w:r>
      <w:r w:rsidR="3CE17B39" w:rsidRPr="00683F9C">
        <w:rPr>
          <w:lang w:val="en-GB"/>
        </w:rPr>
        <w:t xml:space="preserve"> More recently, Linet et al., (201</w:t>
      </w:r>
      <w:r w:rsidR="071CA388" w:rsidRPr="0DB996AC">
        <w:rPr>
          <w:lang w:val="en-GB"/>
        </w:rPr>
        <w:t>9</w:t>
      </w:r>
      <w:r w:rsidR="3CE17B39" w:rsidRPr="00683F9C">
        <w:rPr>
          <w:lang w:val="en-GB"/>
        </w:rPr>
        <w:t xml:space="preserve">) confirmed this </w:t>
      </w:r>
      <w:r w:rsidR="702DD550" w:rsidRPr="00683F9C">
        <w:rPr>
          <w:lang w:val="en-GB"/>
        </w:rPr>
        <w:t>finding, reporting that exposures within the 10 years prior to diagnosis were more strongly associated with MDS/AML, (P</w:t>
      </w:r>
      <w:r w:rsidR="702DD550" w:rsidRPr="00683F9C">
        <w:rPr>
          <w:vertAlign w:val="subscript"/>
          <w:lang w:val="en-GB"/>
        </w:rPr>
        <w:t>trend</w:t>
      </w:r>
      <w:r w:rsidR="702DD550" w:rsidRPr="00683F9C">
        <w:rPr>
          <w:lang w:val="en-GB"/>
        </w:rPr>
        <w:t xml:space="preserve"> values of 0.08 and 0.06 for cumulative and average intensity exposure measures, respectively)</w:t>
      </w:r>
      <w:r w:rsidR="7F88692D" w:rsidRPr="00683F9C">
        <w:rPr>
          <w:lang w:val="en-GB"/>
        </w:rPr>
        <w:t xml:space="preserve"> versus </w:t>
      </w:r>
      <w:r w:rsidR="702DD550" w:rsidRPr="00683F9C">
        <w:rPr>
          <w:lang w:val="en-GB"/>
        </w:rPr>
        <w:t>exposures ≥10 years prior to diagnosis</w:t>
      </w:r>
      <w:r w:rsidR="3736CED8" w:rsidRPr="00683F9C">
        <w:rPr>
          <w:lang w:val="en-GB"/>
        </w:rPr>
        <w:t xml:space="preserve"> (</w:t>
      </w:r>
      <w:r w:rsidR="702DD550" w:rsidRPr="00683F9C">
        <w:rPr>
          <w:lang w:val="en-GB"/>
        </w:rPr>
        <w:t>P</w:t>
      </w:r>
      <w:r w:rsidR="702DD550" w:rsidRPr="00683F9C">
        <w:rPr>
          <w:vertAlign w:val="subscript"/>
          <w:lang w:val="en-GB"/>
        </w:rPr>
        <w:t>trend</w:t>
      </w:r>
      <w:r w:rsidR="702DD550" w:rsidRPr="00683F9C">
        <w:rPr>
          <w:lang w:val="en-GB"/>
        </w:rPr>
        <w:t xml:space="preserve"> </w:t>
      </w:r>
      <w:r w:rsidR="298B61DE" w:rsidRPr="00683F9C">
        <w:rPr>
          <w:lang w:val="en-GB"/>
        </w:rPr>
        <w:t xml:space="preserve"> = 0.92 </w:t>
      </w:r>
      <w:r w:rsidR="72011206" w:rsidRPr="00683F9C">
        <w:rPr>
          <w:lang w:val="en-GB"/>
        </w:rPr>
        <w:t>and 0.42).</w:t>
      </w:r>
    </w:p>
    <w:p w14:paraId="541AB196" w14:textId="6BC8D6BF" w:rsidR="72011206" w:rsidRPr="00683F9C" w:rsidRDefault="72011206">
      <w:pPr>
        <w:rPr>
          <w:lang w:val="en-GB"/>
        </w:rPr>
      </w:pPr>
      <w:r w:rsidRPr="00683F9C">
        <w:rPr>
          <w:lang w:val="en-GB"/>
        </w:rPr>
        <w:t xml:space="preserve">Schnatter et al (2012) did not find enhanced risk for recent benzene exposures </w:t>
      </w:r>
      <w:r w:rsidR="025922E6" w:rsidRPr="00683F9C">
        <w:rPr>
          <w:lang w:val="en-GB"/>
        </w:rPr>
        <w:t xml:space="preserve">for </w:t>
      </w:r>
      <w:r w:rsidR="00E11D54">
        <w:rPr>
          <w:lang w:val="en-GB"/>
        </w:rPr>
        <w:t>n</w:t>
      </w:r>
      <w:r w:rsidR="025922E6" w:rsidRPr="00683F9C">
        <w:rPr>
          <w:lang w:val="en-GB"/>
        </w:rPr>
        <w:t xml:space="preserve">either AML nor MDS, although this may have been due to much lower benzene exposure levels encountered in the populations studied. </w:t>
      </w:r>
    </w:p>
    <w:p w14:paraId="7967D818" w14:textId="666DE1BD" w:rsidR="5125FCEE" w:rsidRPr="00683F9C" w:rsidRDefault="5125FCEE">
      <w:pPr>
        <w:rPr>
          <w:lang w:val="en-GB"/>
        </w:rPr>
      </w:pPr>
      <w:r w:rsidRPr="00683F9C">
        <w:rPr>
          <w:lang w:val="en-GB"/>
        </w:rPr>
        <w:t xml:space="preserve">The evidence indicates that benzene exposure risk is likely limited to 10-20 years before the diagnosis of AML. </w:t>
      </w:r>
      <w:r w:rsidR="31539CBF" w:rsidRPr="00683F9C">
        <w:rPr>
          <w:lang w:val="en-GB"/>
        </w:rPr>
        <w:t xml:space="preserve"> When time increases beyond 20 years of first exposure, there appears to be no excess risk for AML due to benzene exposu</w:t>
      </w:r>
      <w:r w:rsidR="33D17BFB" w:rsidRPr="00683F9C">
        <w:rPr>
          <w:lang w:val="en-GB"/>
        </w:rPr>
        <w:t>re.</w:t>
      </w:r>
    </w:p>
    <w:p w14:paraId="0AFC13F5" w14:textId="2A5D0365" w:rsidR="6CC676FE" w:rsidRDefault="6CC676FE" w:rsidP="6CC676FE">
      <w:pPr>
        <w:rPr>
          <w:lang w:val="en-GB"/>
        </w:rPr>
      </w:pPr>
    </w:p>
    <w:p w14:paraId="3918AF35" w14:textId="2E130E63" w:rsidR="49147941" w:rsidRPr="009A2A9D" w:rsidRDefault="49147941" w:rsidP="701D3CA4">
      <w:pPr>
        <w:ind w:firstLine="720"/>
        <w:rPr>
          <w:i/>
          <w:iCs/>
          <w:sz w:val="24"/>
          <w:lang w:val="en-GB"/>
        </w:rPr>
      </w:pPr>
      <w:r w:rsidRPr="009A2A9D">
        <w:rPr>
          <w:i/>
          <w:iCs/>
          <w:sz w:val="24"/>
          <w:lang w:val="en-GB"/>
        </w:rPr>
        <w:t>Exposure Response</w:t>
      </w:r>
    </w:p>
    <w:p w14:paraId="26E81AA8" w14:textId="0A71DEB5" w:rsidR="426BDEFA" w:rsidRPr="00683F9C" w:rsidRDefault="426BDEFA" w:rsidP="701D3CA4">
      <w:pPr>
        <w:rPr>
          <w:lang w:val="en-GB"/>
        </w:rPr>
      </w:pPr>
      <w:r w:rsidRPr="00683F9C">
        <w:rPr>
          <w:lang w:val="en-GB"/>
        </w:rPr>
        <w:t>Overall consideration of the carcinogenicity studies with regard to dose-response may be informative. Studies with quantitative exposure analysis reporting statistically significant excess AML mortality (Pliofilm and NCI-CAPM) did not identify statistically significant effects until average exposures were &gt;10 ppm. Studies that did not find statistically significant excess AML mortality (pooled petroleum worker study, Monsanto, and Dow) were generally populations with average benzene exposures &lt;10 ppm. The pooled petroleum worker study did identify a statistically significant increase in MDS for cumulative exposures &gt;2.93 ppm-years, but not for the highest average exposure intensity (&gt;0.259 ppm), though in the case of MDS the inclusion of both peak exposures &gt;3 ppm with other exposure metrics was suggestive that peak exposures &gt;3 ppm may be more influential for risk than cumulative or average exposures. The Shanghai Health Study used semi-quantitative maximum exposure groupings, identifying significant excess for AML for the highest exposed group, for which the lower limit in the category was ~3.1 ppm, but would have included much higher exposures as well. Considering the above, it appears there is a clear signal for AML for benzene exposures above 10 ppm and may be considered equivocal above 1 ppm. It is a given there are substantial uncertainties regarding the shape of the dose-response for benzene below 10 ppm.</w:t>
      </w:r>
    </w:p>
    <w:p w14:paraId="6F2ADA53" w14:textId="64E60392" w:rsidR="701D3CA4" w:rsidRPr="00683F9C" w:rsidRDefault="4CB61B13" w:rsidP="6CC676FE">
      <w:pPr>
        <w:rPr>
          <w:lang w:val="en-GB"/>
        </w:rPr>
      </w:pPr>
      <w:r w:rsidRPr="00683F9C">
        <w:rPr>
          <w:lang w:val="en-GB"/>
        </w:rPr>
        <w:t xml:space="preserve">The vast majority of epidemiologic occupational studies that measure exposure do so by estimating past or recent exposures and apply exposures to time periods to arrive at a concentration x time or cumulative exposure metric, often in ppm-years. Inherently, this calculation assumes that the manner in which a given quantity (in ppm-years) is attained is inconsequential – e.g. 10 ppm for 1 year is indistinguishable from 1 ppm for 10 years.  However, for benzene exposure, there is conflicting data for this assumption </w:t>
      </w:r>
      <w:r w:rsidR="002D2F9E" w:rsidRPr="00683F9C">
        <w:rPr>
          <w:lang w:val="en-GB"/>
        </w:rPr>
        <w:fldChar w:fldCharType="begin">
          <w:fldData xml:space="preserve">PEVuZE5vdGU+PENpdGU+PEF1dGhvcj5Db2xsaW5zPC9BdXRob3I+PFllYXI+MjAwMzwvWWVhcj48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==
</w:fldData>
        </w:fldChar>
      </w:r>
      <w:r w:rsidR="00224020">
        <w:rPr>
          <w:lang w:val="en-GB"/>
        </w:rPr>
        <w:instrText xml:space="preserve"> ADDIN EN.CITE </w:instrText>
      </w:r>
      <w:r w:rsidR="00224020">
        <w:rPr>
          <w:lang w:val="en-GB"/>
        </w:rPr>
        <w:fldChar w:fldCharType="begin">
          <w:fldData xml:space="preserve">PEVuZE5vdGU+PENpdGU+PEF1dGhvcj5Db2xsaW5zPC9BdXRob3I+PFllYXI+MjAwMzwvWWVhcj48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==
</w:fldData>
        </w:fldChar>
      </w:r>
      <w:r w:rsidR="00224020">
        <w:rPr>
          <w:lang w:val="en-GB"/>
        </w:rPr>
        <w:instrText xml:space="preserve"> ADDIN EN.CITE.DATA </w:instrText>
      </w:r>
      <w:r w:rsidR="00224020">
        <w:rPr>
          <w:lang w:val="en-GB"/>
        </w:rPr>
      </w:r>
      <w:r w:rsidR="00224020">
        <w:rPr>
          <w:lang w:val="en-GB"/>
        </w:rPr>
        <w:fldChar w:fldCharType="end"/>
      </w:r>
      <w:r w:rsidR="002D2F9E" w:rsidRPr="00683F9C">
        <w:rPr>
          <w:lang w:val="en-GB"/>
        </w:rPr>
      </w:r>
      <w:r w:rsidR="002D2F9E" w:rsidRPr="00683F9C">
        <w:rPr>
          <w:lang w:val="en-GB"/>
        </w:rPr>
        <w:fldChar w:fldCharType="separate"/>
      </w:r>
      <w:r w:rsidR="00224020">
        <w:rPr>
          <w:noProof/>
          <w:lang w:val="en-GB"/>
        </w:rPr>
        <w:t>(</w:t>
      </w:r>
      <w:hyperlink w:anchor="_ENREF_8" w:tooltip="Collins, 2003 #680" w:history="1">
        <w:r w:rsidR="004C59A6">
          <w:rPr>
            <w:noProof/>
            <w:lang w:val="en-GB"/>
          </w:rPr>
          <w:t>Collins et al., 2003</w:t>
        </w:r>
      </w:hyperlink>
      <w:r w:rsidR="00224020">
        <w:rPr>
          <w:noProof/>
          <w:lang w:val="en-GB"/>
        </w:rPr>
        <w:t xml:space="preserve">; </w:t>
      </w:r>
      <w:hyperlink w:anchor="_ENREF_31" w:tooltip="Schnatter, 2012 #1" w:history="1">
        <w:r w:rsidR="004C59A6">
          <w:rPr>
            <w:noProof/>
            <w:lang w:val="en-GB"/>
          </w:rPr>
          <w:t>Schnatter et al., 2012</w:t>
        </w:r>
      </w:hyperlink>
      <w:r w:rsidR="00224020">
        <w:rPr>
          <w:noProof/>
          <w:lang w:val="en-GB"/>
        </w:rPr>
        <w:t xml:space="preserve">; </w:t>
      </w:r>
      <w:hyperlink w:anchor="_ENREF_32" w:tooltip="Schnatter, 1996 #611" w:history="1">
        <w:r w:rsidR="004C59A6">
          <w:rPr>
            <w:noProof/>
            <w:lang w:val="en-GB"/>
          </w:rPr>
          <w:t>Schnatter et al., 1996</w:t>
        </w:r>
      </w:hyperlink>
      <w:r w:rsidR="00224020">
        <w:rPr>
          <w:noProof/>
          <w:lang w:val="en-GB"/>
        </w:rPr>
        <w:t xml:space="preserve">; </w:t>
      </w:r>
      <w:hyperlink w:anchor="_ENREF_35" w:tooltip="Seniori Costantini, 2003 #683" w:history="1">
        <w:r w:rsidR="004C59A6">
          <w:rPr>
            <w:noProof/>
            <w:lang w:val="en-GB"/>
          </w:rPr>
          <w:t>Seniori Costantini et al., 2003</w:t>
        </w:r>
      </w:hyperlink>
      <w:r w:rsidR="00224020">
        <w:rPr>
          <w:noProof/>
          <w:lang w:val="en-GB"/>
        </w:rPr>
        <w:t xml:space="preserve">; </w:t>
      </w:r>
      <w:hyperlink w:anchor="_ENREF_42" w:tooltip="Wong, 1987 #1021" w:history="1">
        <w:r w:rsidR="004C59A6">
          <w:rPr>
            <w:noProof/>
            <w:lang w:val="en-GB"/>
          </w:rPr>
          <w:t>Wong, 1987b</w:t>
        </w:r>
      </w:hyperlink>
      <w:r w:rsidR="00224020">
        <w:rPr>
          <w:noProof/>
          <w:lang w:val="en-GB"/>
        </w:rPr>
        <w:t>)</w:t>
      </w:r>
      <w:r w:rsidR="002D2F9E" w:rsidRPr="00683F9C">
        <w:rPr>
          <w:lang w:val="en-GB"/>
        </w:rPr>
        <w:fldChar w:fldCharType="end"/>
      </w:r>
      <w:r w:rsidR="00B15304" w:rsidRPr="00683F9C">
        <w:rPr>
          <w:lang w:val="en-GB"/>
        </w:rPr>
        <w:t xml:space="preserve"> </w:t>
      </w:r>
      <w:r w:rsidRPr="00683F9C">
        <w:rPr>
          <w:lang w:val="en-GB"/>
        </w:rPr>
        <w:t>The data more often suggest that high concentrations are more impactful for subsequent risk from exposure.</w:t>
      </w:r>
      <w:r w:rsidR="0253AB98" w:rsidRPr="00683F9C">
        <w:rPr>
          <w:lang w:val="en-GB"/>
        </w:rPr>
        <w:t xml:space="preserve">  Thus, using cumu</w:t>
      </w:r>
      <w:r w:rsidR="69349C14" w:rsidRPr="00683F9C">
        <w:rPr>
          <w:lang w:val="en-GB"/>
        </w:rPr>
        <w:t>l</w:t>
      </w:r>
      <w:r w:rsidR="0253AB98" w:rsidRPr="00683F9C">
        <w:rPr>
          <w:lang w:val="en-GB"/>
        </w:rPr>
        <w:t xml:space="preserve">ative exposure in risk models is </w:t>
      </w:r>
      <w:r w:rsidR="49E50D25" w:rsidRPr="00683F9C">
        <w:rPr>
          <w:lang w:val="en-GB"/>
        </w:rPr>
        <w:t xml:space="preserve">likely to be </w:t>
      </w:r>
      <w:r w:rsidR="0253AB98" w:rsidRPr="00683F9C">
        <w:rPr>
          <w:lang w:val="en-GB"/>
        </w:rPr>
        <w:t xml:space="preserve">a conservative strategy, in that </w:t>
      </w:r>
      <w:r w:rsidR="35BC9AA2" w:rsidRPr="00683F9C">
        <w:rPr>
          <w:lang w:val="en-GB"/>
        </w:rPr>
        <w:t xml:space="preserve">the risk </w:t>
      </w:r>
      <w:r w:rsidR="2A6E424A" w:rsidRPr="00683F9C">
        <w:rPr>
          <w:lang w:val="en-GB"/>
        </w:rPr>
        <w:t xml:space="preserve">estimates from such calculations will result in a higher risk per unit of exposure. </w:t>
      </w:r>
    </w:p>
    <w:p w14:paraId="7F37F331" w14:textId="14E23808" w:rsidR="6CC676FE" w:rsidRDefault="6CC676FE" w:rsidP="00F570DB">
      <w:pPr>
        <w:rPr>
          <w:lang w:val="en-GB"/>
        </w:rPr>
      </w:pPr>
    </w:p>
    <w:p w14:paraId="0F6B4106" w14:textId="788A85CE" w:rsidR="24E361A4" w:rsidRDefault="24E361A4" w:rsidP="3CD43A38">
      <w:pPr>
        <w:rPr>
          <w:lang w:val="en-GB"/>
        </w:rPr>
      </w:pPr>
      <w:r w:rsidRPr="3CD43A38">
        <w:rPr>
          <w:lang w:val="en-GB"/>
        </w:rPr>
        <w:t>REVIEW OF STUDIES INCLUDED IN AML EXPOSURE RESPONSE ASSESSMENT</w:t>
      </w:r>
    </w:p>
    <w:p w14:paraId="5349D898" w14:textId="652EAB49" w:rsidR="15B0621C" w:rsidRPr="00683F9C" w:rsidRDefault="15B0621C" w:rsidP="003E1538">
      <w:pPr>
        <w:ind w:left="720" w:firstLine="720"/>
        <w:rPr>
          <w:lang w:val="en-GB"/>
        </w:rPr>
      </w:pPr>
      <w:r w:rsidRPr="00683F9C">
        <w:rPr>
          <w:lang w:val="en-GB"/>
        </w:rPr>
        <w:t xml:space="preserve">Pliofilm </w:t>
      </w:r>
      <w:r w:rsidR="005E2D2B">
        <w:rPr>
          <w:lang w:val="en-GB"/>
        </w:rPr>
        <w:t>Cohort (Multiple studies)</w:t>
      </w:r>
    </w:p>
    <w:p w14:paraId="7062DE31" w14:textId="783C737D" w:rsidR="02A287E8" w:rsidRPr="00683F9C" w:rsidRDefault="02A287E8" w:rsidP="29F624C6">
      <w:pPr>
        <w:rPr>
          <w:lang w:val="en-GB"/>
        </w:rPr>
      </w:pPr>
      <w:r w:rsidRPr="00683F9C">
        <w:rPr>
          <w:lang w:val="en-GB"/>
        </w:rPr>
        <w:t>The Pliofilm cohort is amongst the most studied populations of benzene-exposed workers (1,845 workers)</w:t>
      </w:r>
      <w:r w:rsidR="00211A21" w:rsidRPr="00683F9C">
        <w:rPr>
          <w:lang w:val="en-GB"/>
        </w:rPr>
        <w:t>, and</w:t>
      </w:r>
      <w:r w:rsidRPr="00683F9C">
        <w:rPr>
          <w:lang w:val="en-GB"/>
        </w:rPr>
        <w:t xml:space="preserve"> is possibly the most frequently used cohort for benzene quantitative risk assessment. Occupational exposures resulted from benzene used as a solvent in the production of film rubber from the late 1930s to 1976 in three facilities in Ohio, USA. The most recent update to cohort mortality (Rinsky et al., 2002), representing 53% (976 workers) of the cohort, indicated a SMR of 1.64 (95% CI 1.06-2.42) for lymphatic and hematopoietic cancers in the all workers group. Subgrouping based on </w:t>
      </w:r>
      <w:r w:rsidR="00211A21" w:rsidRPr="00683F9C">
        <w:rPr>
          <w:lang w:val="en-GB"/>
        </w:rPr>
        <w:t>tumour</w:t>
      </w:r>
      <w:r w:rsidRPr="00683F9C">
        <w:rPr>
          <w:lang w:val="en-GB"/>
        </w:rPr>
        <w:t xml:space="preserve"> lineage was performed for </w:t>
      </w:r>
      <w:r w:rsidR="73048C0D" w:rsidRPr="00683F9C">
        <w:rPr>
          <w:lang w:val="en-GB"/>
        </w:rPr>
        <w:t>leukaem</w:t>
      </w:r>
      <w:r w:rsidRPr="00683F9C">
        <w:rPr>
          <w:lang w:val="en-GB"/>
        </w:rPr>
        <w:t>ia (SMR 2.47, 95% CI 1.38-4.07), MM (SMR 2.04, 95% CI 0.66-4.76), and NHL (SMR 0.96, 95% CI 0.31-2.25). Limiting analysis to white male workers only (90% of the cohort) results in marginally higher SMR and 95% CI values. Concentration response analysis was reported for leuk</w:t>
      </w:r>
      <w:r w:rsidR="00211A21">
        <w:rPr>
          <w:lang w:val="en-GB"/>
        </w:rPr>
        <w:t>a</w:t>
      </w:r>
      <w:r w:rsidRPr="00683F9C">
        <w:rPr>
          <w:lang w:val="en-GB"/>
        </w:rPr>
        <w:t xml:space="preserve">emias in white males, indicating a monotonically increasing SMR with benzene exposure. Twelve of 15 </w:t>
      </w:r>
      <w:r w:rsidR="73048C0D" w:rsidRPr="00683F9C">
        <w:rPr>
          <w:lang w:val="en-GB"/>
        </w:rPr>
        <w:t>leukaem</w:t>
      </w:r>
      <w:r w:rsidRPr="00683F9C">
        <w:rPr>
          <w:lang w:val="en-GB"/>
        </w:rPr>
        <w:t>ias in benzene-exposed workers were myeloid lineage. The two of three non-myeloid leuk</w:t>
      </w:r>
      <w:r w:rsidR="00211A21">
        <w:rPr>
          <w:lang w:val="en-GB"/>
        </w:rPr>
        <w:t>a</w:t>
      </w:r>
      <w:r w:rsidRPr="00683F9C">
        <w:rPr>
          <w:lang w:val="en-GB"/>
        </w:rPr>
        <w:t>emias were unspecified, and one was ALL. No less than four sets of exposure estimates have been developed for the cohort: (Rinsky et al, 1981)</w:t>
      </w:r>
      <w:r w:rsidRPr="003E1538">
        <w:rPr>
          <w:lang w:val="en-GB"/>
        </w:rPr>
        <w:t xml:space="preserve">; Crump and Allen 1984; Paustenbach et al., 1992; and Williams et al., 2003).  While there is debate about the true exposures in this cohort (Utterback and Rinsky, 1995), there is some objective evidence that the Rinsky et al estimates may be too low (Kipen et al., 1986), while some of the Paustenbach estimates are likely to be too high (Williams and Paustenbach, 2003).  In addition, the Crump and Allen estimates used a technique of increasing the Rinsky estimates in proportion to the TLV in effect at the time, a potentially overly simplistic technique.  Schnatter et al. 1996 attempted to derive a more accurate estimate by using the median of the available estimates at that time (those predating the Williams and Paustenbach 2003 work), but these median estimates have not been used in risk assessments.  Benefitting from several critiques over the years, more specific job history data, further monitoring results and applying more advanced probabilistic techniques, the Williams and Paustenbach (2003) estimates are likely the most accurate ones, although only a single study has employed these estimates </w:t>
      </w:r>
      <w:r w:rsidRPr="00683F9C">
        <w:rPr>
          <w:lang w:val="en-GB"/>
        </w:rPr>
        <w:t xml:space="preserve">(Rhomberg et al., 2016) in dose-response assessment. There are advantages to using the Pliofilm cohort since power was sufficient to show a dose-response relationship, there was sufficiently long follow-up, and there were few reported co-exposures to carcinogenic substances relative to other studies. All authors note a convincing dose-response for total leukaemia, however, there is marked heterogeneity in the relationship with benzene between different leukaemia subtypes.  </w:t>
      </w:r>
    </w:p>
    <w:p w14:paraId="6C0385FD" w14:textId="77777777" w:rsidR="00C23700" w:rsidRDefault="00C23700" w:rsidP="00C23700">
      <w:pPr>
        <w:rPr>
          <w:lang w:val="en-GB"/>
        </w:rPr>
      </w:pPr>
    </w:p>
    <w:p w14:paraId="63955520" w14:textId="2098154C" w:rsidR="1553EFF0" w:rsidRDefault="1553EFF0" w:rsidP="1553EFF0">
      <w:pPr>
        <w:rPr>
          <w:lang w:val="en-GB"/>
        </w:rPr>
      </w:pPr>
    </w:p>
    <w:p w14:paraId="7731526C" w14:textId="794EBD9A" w:rsidR="75C0425D" w:rsidRDefault="75C0425D" w:rsidP="003E1538">
      <w:pPr>
        <w:ind w:left="720" w:firstLine="720"/>
        <w:rPr>
          <w:lang w:val="en-GB"/>
        </w:rPr>
      </w:pPr>
      <w:r w:rsidRPr="536C86A4">
        <w:rPr>
          <w:lang w:val="en-GB"/>
        </w:rPr>
        <w:t>NCI/CAPM China study</w:t>
      </w:r>
      <w:r w:rsidR="005E2D2B" w:rsidRPr="536C86A4">
        <w:rPr>
          <w:lang w:val="en-GB"/>
        </w:rPr>
        <w:t xml:space="preserve"> (Hayes</w:t>
      </w:r>
      <w:r w:rsidR="404A843A" w:rsidRPr="536C86A4">
        <w:rPr>
          <w:lang w:val="en-GB"/>
        </w:rPr>
        <w:t xml:space="preserve"> et al., Linet et al.</w:t>
      </w:r>
      <w:r w:rsidR="005E2D2B" w:rsidRPr="536C86A4">
        <w:rPr>
          <w:lang w:val="en-GB"/>
        </w:rPr>
        <w:t>)</w:t>
      </w:r>
    </w:p>
    <w:p w14:paraId="49ADAB2F" w14:textId="47812682" w:rsidR="02A287E8" w:rsidRDefault="02A287E8" w:rsidP="29F624C6">
      <w:pPr>
        <w:rPr>
          <w:lang w:val="en-GB"/>
        </w:rPr>
      </w:pPr>
      <w:r w:rsidRPr="1553EFF0">
        <w:rPr>
          <w:lang w:val="en-GB"/>
        </w:rPr>
        <w:t>A larger cohort study (74,828 exposed and 35,805 unexposed workers) was performed in collaboration between the United States National Cancer Institute and Chinese Academy of Preventive Medicine (Hayes et al., 1997</w:t>
      </w:r>
      <w:r w:rsidR="00211A21">
        <w:rPr>
          <w:lang w:val="en-GB"/>
        </w:rPr>
        <w:t xml:space="preserve">; the </w:t>
      </w:r>
      <w:r w:rsidRPr="1553EFF0">
        <w:rPr>
          <w:lang w:val="en-GB"/>
        </w:rPr>
        <w:t xml:space="preserve">NCI-CAPM cohort), with the most recent analysis published in 2019 </w:t>
      </w:r>
      <w:r w:rsidRPr="003E1538">
        <w:rPr>
          <w:lang w:val="en-GB"/>
        </w:rPr>
        <w:t>(Linet et al., 2019)</w:t>
      </w:r>
      <w:r w:rsidRPr="1553EFF0">
        <w:rPr>
          <w:lang w:val="en-GB"/>
        </w:rPr>
        <w:t xml:space="preserve">. Quantitative benzene exposure estimates were reported in Hayes </w:t>
      </w:r>
      <w:r w:rsidRPr="003E1538">
        <w:rPr>
          <w:lang w:val="en-GB"/>
        </w:rPr>
        <w:t>et al</w:t>
      </w:r>
      <w:r w:rsidRPr="1553EFF0">
        <w:rPr>
          <w:lang w:val="en-GB"/>
        </w:rPr>
        <w:t xml:space="preserve">., </w:t>
      </w:r>
      <w:r w:rsidR="00C377AD">
        <w:rPr>
          <w:lang w:val="en-GB"/>
        </w:rPr>
        <w:t>(</w:t>
      </w:r>
      <w:r w:rsidRPr="003E1538">
        <w:rPr>
          <w:lang w:val="en-GB"/>
        </w:rPr>
        <w:t>1997</w:t>
      </w:r>
      <w:r w:rsidR="00C377AD">
        <w:rPr>
          <w:lang w:val="en-GB"/>
        </w:rPr>
        <w:t>)</w:t>
      </w:r>
      <w:r w:rsidR="4EF949F3" w:rsidRPr="003E1538">
        <w:rPr>
          <w:lang w:val="en-GB"/>
        </w:rPr>
        <w:t xml:space="preserve"> </w:t>
      </w:r>
      <w:r w:rsidRPr="1553EFF0">
        <w:rPr>
          <w:lang w:val="en-GB"/>
        </w:rPr>
        <w:t xml:space="preserve">and </w:t>
      </w:r>
      <w:r w:rsidRPr="003E1538">
        <w:rPr>
          <w:lang w:val="en-GB"/>
        </w:rPr>
        <w:t xml:space="preserve">Linet et al., </w:t>
      </w:r>
      <w:r w:rsidR="00211A21">
        <w:rPr>
          <w:lang w:val="en-GB"/>
        </w:rPr>
        <w:t>(</w:t>
      </w:r>
      <w:r w:rsidRPr="003E1538">
        <w:rPr>
          <w:lang w:val="en-GB"/>
        </w:rPr>
        <w:t>2019)</w:t>
      </w:r>
      <w:r w:rsidRPr="1553EFF0">
        <w:rPr>
          <w:lang w:val="en-GB"/>
        </w:rPr>
        <w:t xml:space="preserve"> ,thus are the focus for this summary. In Hayes </w:t>
      </w:r>
      <w:r w:rsidRPr="003E1538">
        <w:rPr>
          <w:lang w:val="en-GB"/>
        </w:rPr>
        <w:t>et al.</w:t>
      </w:r>
      <w:r w:rsidRPr="1553EFF0">
        <w:rPr>
          <w:lang w:val="en-GB"/>
        </w:rPr>
        <w:t xml:space="preserve">, the relative risk for leukaemia was significantly raised (RR 2.5, 95%CI 1.2 – 5.1). NHL was close to significance (RR 3.0, 95% CI 0.9 – 10.5). As with the Pliofilm study, there was no dose response trend for other leukaemia cell types. There was an excess of NHL only for some of the highest (&gt; 25 ppm average exposure, &gt; 100 ppm-years) exposure groups.  MDS was also significant, but the RR was infinite, since there were no unexposed cases of MDS. With ANLL and MDS combined, the RR was significant at 4.1, with a strong dose-response relationship.  Statistically significant increases in risk were reported for the middle category (10-25 ppm) of exposure. Similar to the Pliofilm study, the risk of ANLL/MDS was significantly related to benzene exposure in a 1.5 to 10 year exposure window previous to diagnosis (p=0.003), but showed no relationship to “distant” exposure more than 10 years prior to diagnosis (p=0.51). NHL risk was seen for exposures more than 10 years from diagnosis (P=0.005), but not to more recent exposure (P= 0.15). </w:t>
      </w:r>
    </w:p>
    <w:p w14:paraId="7F5A5E1A" w14:textId="4E68F645" w:rsidR="02A287E8" w:rsidRDefault="02A287E8" w:rsidP="29F624C6">
      <w:pPr>
        <w:rPr>
          <w:lang w:val="en-GB"/>
        </w:rPr>
      </w:pPr>
      <w:r w:rsidRPr="29F624C6">
        <w:rPr>
          <w:lang w:val="en-GB"/>
        </w:rPr>
        <w:t xml:space="preserve">The </w:t>
      </w:r>
      <w:r w:rsidRPr="003E1538">
        <w:rPr>
          <w:lang w:val="en-GB"/>
        </w:rPr>
        <w:t xml:space="preserve">Linet et al., </w:t>
      </w:r>
      <w:r w:rsidRPr="29F624C6">
        <w:rPr>
          <w:lang w:val="en-GB"/>
        </w:rPr>
        <w:t xml:space="preserve"> analysis focused primarily on combined MDS/AML, though some information on CML was also reported. For MDS/AML, a significantly increased hazard rate ratio (but referred to here as RR for simplicity) for cumulative exposure of 40-&lt;100 ppm-years (RR 2.52, 95% CI 1.02 – 6.08) when considering all ages for first exposure without a time window was reported. RR was elevated, but not statistically significant, for cumulative exposures &gt;100 ppm-years (RR 1.84, 95% CI 0.60 – 5.01). When analysed on the basis of average exposure no statistically significant increases in hazard rate ratio were identified, but RR was elevated for average exposure intensity of 5 ppm or greater (minimum was RR 1.68, 95% CI 0.64 –  4.21 and maximum was RR 2.59, 95% CI 0.97 –  6.57 among the exposure groups). For exposures of &gt;0 to &lt;5 ppm average intensity the RR was decreased, but not significantly (RR 0.80, 95% CI 0.31 – 1.97).</w:t>
      </w:r>
    </w:p>
    <w:p w14:paraId="33B318AF" w14:textId="61208470" w:rsidR="02A287E8" w:rsidRDefault="02A287E8" w:rsidP="29F624C6">
      <w:pPr>
        <w:rPr>
          <w:lang w:val="en-GB"/>
        </w:rPr>
      </w:pPr>
      <w:r w:rsidRPr="29F624C6">
        <w:rPr>
          <w:lang w:val="en-GB"/>
        </w:rPr>
        <w:t xml:space="preserve">The potential influence of exposure time windows on RR was also assessed </w:t>
      </w:r>
      <w:r w:rsidRPr="003E1538">
        <w:rPr>
          <w:lang w:val="en-GB"/>
        </w:rPr>
        <w:t>(Linet et al., 2019)</w:t>
      </w:r>
      <w:r w:rsidRPr="29F624C6">
        <w:rPr>
          <w:lang w:val="en-GB"/>
        </w:rPr>
        <w:t xml:space="preserve">, finding exposures within the 10 years prior to diagnosis were more strongly associated with MDS/AML, and reporting </w:t>
      </w:r>
      <w:r w:rsidRPr="003E1538">
        <w:rPr>
          <w:lang w:val="en-GB"/>
        </w:rPr>
        <w:t xml:space="preserve">Ptrend </w:t>
      </w:r>
      <w:r w:rsidRPr="29F624C6">
        <w:rPr>
          <w:lang w:val="en-GB"/>
        </w:rPr>
        <w:t xml:space="preserve">values of 0.08 and 0.06 for cumulative and average intensity exposure measures, respectively. When considering exposures ≥10 years prior to diagnosis, the </w:t>
      </w:r>
      <w:r w:rsidRPr="003E1538">
        <w:rPr>
          <w:lang w:val="en-GB"/>
        </w:rPr>
        <w:t>Ptrend</w:t>
      </w:r>
      <w:r w:rsidRPr="29F624C6">
        <w:rPr>
          <w:lang w:val="en-GB"/>
        </w:rPr>
        <w:t xml:space="preserve"> was non-significant (</w:t>
      </w:r>
      <w:r w:rsidRPr="003E1538">
        <w:rPr>
          <w:lang w:val="en-GB"/>
        </w:rPr>
        <w:t>i.e.,</w:t>
      </w:r>
      <w:r w:rsidRPr="29F624C6">
        <w:rPr>
          <w:lang w:val="en-GB"/>
        </w:rPr>
        <w:t xml:space="preserve"> 0.92 and 0.42 for cumulative and average intensity exposure measures, respectively). Linet </w:t>
      </w:r>
      <w:r w:rsidRPr="003E1538">
        <w:rPr>
          <w:lang w:val="en-GB"/>
        </w:rPr>
        <w:t>et al.</w:t>
      </w:r>
      <w:r w:rsidRPr="29F624C6">
        <w:rPr>
          <w:lang w:val="en-GB"/>
        </w:rPr>
        <w:t>, further observed a potential difference in RR depending on the age at first exposure when further stratifying their analysis. The RR values are more than two times higher than those observed for the 40 to &lt;100 and ≥100 ppm-year exposures groups for workers in the 2 to &lt;10 year window and &lt;30 years old at first exposure compared to workers with all ages and time windows. The RR values fluctuate from 0.78 to 1.22 without any clear exposure response character (</w:t>
      </w:r>
      <w:r w:rsidRPr="003E1538">
        <w:rPr>
          <w:lang w:val="en-GB"/>
        </w:rPr>
        <w:t>Ptrend</w:t>
      </w:r>
      <w:r w:rsidRPr="29F624C6">
        <w:rPr>
          <w:lang w:val="en-GB"/>
        </w:rPr>
        <w:t xml:space="preserve"> is 0.55) when focused on cumulative exposures ≥10 year window for workers ≥30 years old at first exposure. The pattern is similar when considering average intensity of exposure.</w:t>
      </w:r>
    </w:p>
    <w:p w14:paraId="6EB0FE23" w14:textId="1C3FBF71" w:rsidR="02A287E8" w:rsidRDefault="02A287E8" w:rsidP="29F624C6">
      <w:pPr>
        <w:rPr>
          <w:lang w:val="en-GB"/>
        </w:rPr>
      </w:pPr>
      <w:r w:rsidRPr="29F624C6">
        <w:rPr>
          <w:lang w:val="en-GB"/>
        </w:rPr>
        <w:t xml:space="preserve">Unlike MDS/AML, the pattern for CML in Linet </w:t>
      </w:r>
      <w:r w:rsidRPr="003E1538">
        <w:rPr>
          <w:lang w:val="en-GB"/>
        </w:rPr>
        <w:t>et al.,</w:t>
      </w:r>
      <w:r w:rsidRPr="29F624C6">
        <w:rPr>
          <w:lang w:val="en-GB"/>
        </w:rPr>
        <w:t xml:space="preserve"> (2019) does not appear responsive to exposure. When limited to an exposed versus unexposed comparison, there is an increased (but not statistically significant) RR for CML (RR 2.64, 95% CI 0.76 – 11.41), but exposure response modelling fails to find a significant trend (</w:t>
      </w:r>
      <w:r w:rsidRPr="003E1538">
        <w:rPr>
          <w:lang w:val="en-GB"/>
        </w:rPr>
        <w:t>Ptrend</w:t>
      </w:r>
      <w:r w:rsidRPr="29F624C6">
        <w:rPr>
          <w:lang w:val="en-GB"/>
        </w:rPr>
        <w:t xml:space="preserve"> values from 0.39 to 0.94 depending on the time window and exposure metric considered). The calculated risk coefficients for RR are negative, with confidence intervals that encompass zero, with a plausible interpretation being there is no benzene exposure response for CML in the NCI-CAPM cohort.</w:t>
      </w:r>
    </w:p>
    <w:p w14:paraId="6CE2F62C" w14:textId="5557085F" w:rsidR="005E2D2B" w:rsidRDefault="02A287E8" w:rsidP="29F624C6">
      <w:pPr>
        <w:rPr>
          <w:lang w:val="en-GB"/>
        </w:rPr>
      </w:pPr>
      <w:r w:rsidRPr="1553EFF0">
        <w:rPr>
          <w:lang w:val="en-GB"/>
        </w:rPr>
        <w:t xml:space="preserve">Thus, for the NCI-CAPM reports a clear dose-response for AML/MDS combined, as well as an indication that these tumours were related to relatively recent exposure window (from 1.5 to 10 years before incidence). </w:t>
      </w:r>
    </w:p>
    <w:p w14:paraId="33B6EA61" w14:textId="5E26D583" w:rsidR="373FDA55" w:rsidRDefault="373FDA55" w:rsidP="003E1538">
      <w:pPr>
        <w:ind w:left="720" w:firstLine="720"/>
        <w:rPr>
          <w:lang w:val="en-GB"/>
        </w:rPr>
      </w:pPr>
      <w:r w:rsidRPr="1B2D6AA9">
        <w:rPr>
          <w:lang w:val="en-GB"/>
        </w:rPr>
        <w:t>Stenehjem et al., 2015</w:t>
      </w:r>
      <w:commentRangeStart w:id="2"/>
      <w:commentRangeEnd w:id="2"/>
    </w:p>
    <w:p w14:paraId="6AC56F19" w14:textId="121CE93E" w:rsidR="02A287E8" w:rsidRDefault="02A287E8" w:rsidP="29F624C6">
      <w:pPr>
        <w:rPr>
          <w:lang w:val="en-GB"/>
        </w:rPr>
      </w:pPr>
      <w:r w:rsidRPr="536C86A4">
        <w:rPr>
          <w:lang w:val="en-GB"/>
        </w:rPr>
        <w:t xml:space="preserve">By using the combination of the Cancer Registry of Norway and postal survey a cohort of 24,917 male Norwegian offshore workers were identified and compared for benzene exposure and incidence of various lymphohematopoietic cancers, finding 112 cases </w:t>
      </w:r>
      <w:r w:rsidRPr="536C86A4">
        <w:rPr>
          <w:rFonts w:ascii="Calibri" w:hAnsi="Calibri" w:cs="Calibri"/>
          <w:lang w:val="en-GB"/>
        </w:rPr>
        <w:t>(Stenehjem et al., 2015)</w:t>
      </w:r>
      <w:r w:rsidRPr="536C86A4">
        <w:rPr>
          <w:lang w:val="en-GB"/>
        </w:rPr>
        <w:t xml:space="preserve">. When evaluated on an ever/never exposed basis, neither statistically significant associations between benzene and lymphohematopoietic cancer, nor any subtype (including AML), were identified, though Hazard Ratio (HR) was elevated above 1 for multiple subtypes and groupings. </w:t>
      </w:r>
      <w:r w:rsidR="1B2918AF" w:rsidRPr="536C86A4">
        <w:rPr>
          <w:lang w:val="en-GB"/>
        </w:rPr>
        <w:t xml:space="preserve">Quantitative exposures were estimated based on a semi-quantitative assessment of activities likely to result in higher exposures. </w:t>
      </w:r>
      <w:r w:rsidRPr="536C86A4">
        <w:rPr>
          <w:lang w:val="en-GB"/>
        </w:rPr>
        <w:t>Dose-response analysis comparing unexposed workers with three increasing exposures tertiles was generally resulted in relatively flat responses, with HR values increased in the lowest tertile compared to unexposed, but similar to the values observed for the highest tertile. Narrowing the subtype definition to myeloid cancers (which would combine AML, CML, MDS, and “other myeloid diseases”) generally increased the observed HR when comparing the same exposure tertiles, but was not consistently monotonically increasing, and trend tests did not identify a statistically significant effect. Even when narrowed to solely to AML the results were not statistically significant, whether evaluated on a pairwise or trend test basis. However, the AML analysis was closest to identifying a statistically significant trend (</w:t>
      </w:r>
      <w:r w:rsidRPr="536C86A4">
        <w:rPr>
          <w:i/>
          <w:iCs/>
          <w:lang w:val="en-GB"/>
        </w:rPr>
        <w:t>p</w:t>
      </w:r>
      <w:r w:rsidRPr="536C86A4">
        <w:rPr>
          <w:lang w:val="en-GB"/>
        </w:rPr>
        <w:t xml:space="preserve"> = 0.052 using cumulative exposure, </w:t>
      </w:r>
      <w:r w:rsidRPr="536C86A4">
        <w:rPr>
          <w:i/>
          <w:iCs/>
          <w:lang w:val="en-GB"/>
        </w:rPr>
        <w:t>p</w:t>
      </w:r>
      <w:r w:rsidRPr="536C86A4">
        <w:rPr>
          <w:lang w:val="en-GB"/>
        </w:rPr>
        <w:t xml:space="preserve"> = 0.056 when using average peak &gt;3 ppm). The HR values, once adjusted for age, smoking, and benzene exposure from other work, in the highest tertile were 4.85 (95% CI 0.88-27; 0.124–0.948 ppm-years) for and 4.87 (95% CI 0.90- 26; quantitative metric not reported for average peak &gt;3 ppm). A single statistically significant increase in HR for CLL was reported for the second tertile exposure group (adjusted HR 6.66, 95% CI 1.32-34), though this was not consistent with a monotonically increasing trend (adjusted HR values for the 1</w:t>
      </w:r>
      <w:r w:rsidRPr="536C86A4">
        <w:rPr>
          <w:vertAlign w:val="superscript"/>
          <w:lang w:val="en-GB"/>
        </w:rPr>
        <w:t>st</w:t>
      </w:r>
      <w:r w:rsidRPr="536C86A4">
        <w:rPr>
          <w:lang w:val="en-GB"/>
        </w:rPr>
        <w:t xml:space="preserve"> and 3</w:t>
      </w:r>
      <w:r w:rsidRPr="536C86A4">
        <w:rPr>
          <w:vertAlign w:val="superscript"/>
          <w:lang w:val="en-GB"/>
        </w:rPr>
        <w:t>rd</w:t>
      </w:r>
      <w:r w:rsidRPr="536C86A4">
        <w:rPr>
          <w:lang w:val="en-GB"/>
        </w:rPr>
        <w:t xml:space="preserve"> tertiles were 2.27 (95% CI 0.31-17) and 2.21 (95% CI 0.27-18), respectively). The only statistically significant trend was reported for MM when considered with cumulative exposure (</w:t>
      </w:r>
      <w:r w:rsidRPr="536C86A4">
        <w:rPr>
          <w:i/>
          <w:iCs/>
          <w:lang w:val="en-GB"/>
        </w:rPr>
        <w:t>p</w:t>
      </w:r>
      <w:r w:rsidRPr="536C86A4">
        <w:rPr>
          <w:lang w:val="en-GB"/>
        </w:rPr>
        <w:t xml:space="preserve"> = 0.024), though the adjusted HR of 3.25 (95% CI 1.00-10) reported for the highest tertile included 1, and given the sheer number of statistical tests reported and no description of adjustment for multiple comparisons the result should be interpreted cautiously.</w:t>
      </w:r>
    </w:p>
    <w:p w14:paraId="4C059BB6" w14:textId="52FB6057" w:rsidR="1553EFF0" w:rsidRDefault="1553EFF0" w:rsidP="1553EFF0">
      <w:pPr>
        <w:rPr>
          <w:lang w:val="en-GB"/>
        </w:rPr>
      </w:pPr>
    </w:p>
    <w:p w14:paraId="06FAF563" w14:textId="5CFEE6C8" w:rsidR="5E9F8777" w:rsidRDefault="5E9F8777" w:rsidP="003E1538">
      <w:pPr>
        <w:ind w:left="1440"/>
        <w:rPr>
          <w:lang w:val="en-GB"/>
        </w:rPr>
      </w:pPr>
      <w:r w:rsidRPr="1B2D6AA9">
        <w:rPr>
          <w:lang w:val="en-GB"/>
        </w:rPr>
        <w:t xml:space="preserve">Pooled Petroleum Worker Study </w:t>
      </w:r>
      <w:r w:rsidR="00EB4E3F">
        <w:rPr>
          <w:lang w:val="en-GB"/>
        </w:rPr>
        <w:fldChar w:fldCharType="begin"/>
      </w:r>
      <w:r w:rsidR="00EB4E3F">
        <w:rPr>
          <w:lang w:val="en-GB"/>
        </w:rPr>
        <w:instrText xml:space="preserve"> ADDIN EN.CITE &lt;EndNote&gt;&lt;Cite&gt;&lt;Author&gt;Rushton&lt;/Author&gt;&lt;Year&gt;2014&lt;/Year&gt;&lt;RecNum&gt;96&lt;/RecNum&gt;&lt;DisplayText&gt;(Rushton et al., 2014)&lt;/DisplayText&gt;&lt;record&gt;&lt;rec-number&gt;96&lt;/rec-number&gt;&lt;foreign-keys&gt;&lt;key app="EN" db-id="0d0929f959rse9ex25rp09za5avf0ept9spf" timestamp="1456250996"&gt;96&lt;/key&gt;&lt;/foreign-keys&gt;&lt;ref-type name="Journal Article"&gt;17&lt;/ref-type&gt;&lt;contributors&gt;&lt;authors&gt;&lt;author&gt;Rushton, L.&lt;/author&gt;&lt;author&gt;Schnatter, A. R.&lt;/author&gt;&lt;author&gt;Tang, G.&lt;/author&gt;&lt;author&gt;Glass, D. C.&lt;/author&gt;&lt;/authors&gt;&lt;/contributors&gt;&lt;titles&gt;&lt;title&gt;Acute myeloid and chronic lymphoid leukaemias and exposure to low-level benzene among petroleum workers&lt;/title&gt;&lt;secondary-title&gt;British Journal of Cancer&lt;/secondary-title&gt;&lt;/titles&gt;&lt;periodical&gt;&lt;full-title&gt;British Journal of Cancer&lt;/full-title&gt;&lt;/periodical&gt;&lt;pages&gt;783-787&lt;/pages&gt;&lt;volume&gt;110&lt;/volume&gt;&lt;number&gt;3&lt;/number&gt;&lt;dates&gt;&lt;year&gt;2014&lt;/year&gt;&lt;pub-dates&gt;&lt;date&gt;Feb 4&lt;/date&gt;&lt;/pub-dates&gt;&lt;/dates&gt;&lt;isbn&gt;0007-0920&lt;/isbn&gt;&lt;accession-num&gt;WOS:000331226400028&lt;/accession-num&gt;&lt;urls&gt;&lt;related-urls&gt;&lt;url&gt;&amp;lt;Go to ISI&amp;gt;://WOS:000331226400028&lt;/url&gt;&lt;/related-urls&gt;&lt;/urls&gt;&lt;electronic-resource-num&gt;10.1038/bjc.2013.780&lt;/electronic-resource-num&gt;&lt;/record&gt;&lt;/Cite&gt;&lt;/EndNote&gt;</w:instrText>
      </w:r>
      <w:r w:rsidR="00EB4E3F">
        <w:rPr>
          <w:lang w:val="en-GB"/>
        </w:rPr>
        <w:fldChar w:fldCharType="separate"/>
      </w:r>
      <w:r w:rsidR="00EB4E3F">
        <w:rPr>
          <w:noProof/>
          <w:lang w:val="en-GB"/>
        </w:rPr>
        <w:t>(</w:t>
      </w:r>
      <w:hyperlink w:anchor="_ENREF_30" w:tooltip="Rushton, 2014 #96" w:history="1">
        <w:r w:rsidR="004C59A6">
          <w:rPr>
            <w:noProof/>
            <w:lang w:val="en-GB"/>
          </w:rPr>
          <w:t>Rushton et al., 2014</w:t>
        </w:r>
      </w:hyperlink>
      <w:r w:rsidR="00EB4E3F">
        <w:rPr>
          <w:noProof/>
          <w:lang w:val="en-GB"/>
        </w:rPr>
        <w:t>)</w:t>
      </w:r>
      <w:r w:rsidR="00EB4E3F">
        <w:rPr>
          <w:lang w:val="en-GB"/>
        </w:rPr>
        <w:fldChar w:fldCharType="end"/>
      </w:r>
      <w:commentRangeStart w:id="3"/>
      <w:commentRangeEnd w:id="3"/>
    </w:p>
    <w:p w14:paraId="4B6695D3" w14:textId="39E86F1B" w:rsidR="02A287E8" w:rsidRDefault="02A287E8" w:rsidP="29F624C6">
      <w:pPr>
        <w:rPr>
          <w:lang w:val="en-GB"/>
        </w:rPr>
      </w:pPr>
      <w:r w:rsidRPr="1553EFF0">
        <w:rPr>
          <w:lang w:val="en-GB"/>
        </w:rPr>
        <w:t xml:space="preserve">The pooled petroleum workers cohort updated and combined three nested case-control studies of benzene-exposed workers, identifying 370 lymphohematopoietic cases matched to 1587 controls from Australian, Canadian, and the United Kingdom cohorts </w:t>
      </w:r>
      <w:r w:rsidRPr="1553EFF0">
        <w:rPr>
          <w:rFonts w:ascii="Calibri" w:hAnsi="Calibri" w:cs="Calibri"/>
          <w:lang w:val="en-GB"/>
        </w:rPr>
        <w:t>(Schnatter et al., 2012)</w:t>
      </w:r>
      <w:r w:rsidRPr="1553EFF0">
        <w:rPr>
          <w:lang w:val="en-GB"/>
        </w:rPr>
        <w:t xml:space="preserve">. One important aspect of the study is the potential difference in exposure when compared to the Pliofilm and NCI-CAPM, with the pooled petroleum workers study experiencing lower benzene exposures. The dose-response for several different </w:t>
      </w:r>
      <w:r w:rsidR="0F249FF9" w:rsidRPr="1553EFF0">
        <w:rPr>
          <w:lang w:val="en-GB"/>
        </w:rPr>
        <w:t>leukaem</w:t>
      </w:r>
      <w:r w:rsidRPr="1553EFF0">
        <w:rPr>
          <w:lang w:val="en-GB"/>
        </w:rPr>
        <w:t xml:space="preserve">ia subtype (AML, CML, and CLL) and myeloid disorders (MDS and MPD) was assessed. Various metrics for exposure were considered, including cumulative, average, maximum, duration, and jobs with repeated peak exposures &gt;3 ppm. Little evidence for a dose-response relationship was observed for AML, CML, CLL, or MPD, but a significant increase in MDS when comparing the lowest and highest cumulative exposure tertiles for benzene exposure. </w:t>
      </w:r>
      <w:r w:rsidR="12A7F1DB" w:rsidRPr="1553EFF0">
        <w:rPr>
          <w:lang w:val="en-GB"/>
        </w:rPr>
        <w:t>Peak exposure (&gt;3 ppm at least weekly for at least a year) also showed a strong relationship with MDS. When modelling both peak and cumulative exposure, MDS risk was m</w:t>
      </w:r>
      <w:r w:rsidR="39F17EE0" w:rsidRPr="1553EFF0">
        <w:rPr>
          <w:lang w:val="en-GB"/>
        </w:rPr>
        <w:t>ore robust for peak exposure, as the metric remained strong even in the presence of cumulative exposure.  Overall, e</w:t>
      </w:r>
      <w:r w:rsidRPr="1553EFF0">
        <w:rPr>
          <w:lang w:val="en-GB"/>
        </w:rPr>
        <w:t xml:space="preserve">xposures </w:t>
      </w:r>
      <w:r w:rsidR="013BD696" w:rsidRPr="1553EFF0">
        <w:rPr>
          <w:lang w:val="en-GB"/>
        </w:rPr>
        <w:t>for these workers were</w:t>
      </w:r>
      <w:r w:rsidRPr="1553EFF0">
        <w:rPr>
          <w:lang w:val="en-GB"/>
        </w:rPr>
        <w:t xml:space="preserve"> lower (mean exposure intensity of 0.2 ppm, mean maximum exposure intensity of 0.7 ppm or less, and mean cumulative exposure of 5.15 ppm-years with 90% of participants with &lt;20 ppm-years) than those observed for Pliofilm and NCI-CAPM. It should be noted that in the original studies, there were some suggestions of an AML excess, particularly in the </w:t>
      </w:r>
      <w:r w:rsidR="27867365" w:rsidRPr="1553EFF0">
        <w:rPr>
          <w:lang w:val="en-GB"/>
        </w:rPr>
        <w:t>Australian (</w:t>
      </w:r>
      <w:r w:rsidRPr="1553EFF0">
        <w:rPr>
          <w:lang w:val="en-GB"/>
        </w:rPr>
        <w:t xml:space="preserve">Glass et al., 2003 </w:t>
      </w:r>
      <w:r w:rsidR="59965110" w:rsidRPr="1553EFF0">
        <w:rPr>
          <w:lang w:val="en-GB"/>
        </w:rPr>
        <w:t>and Glass et al., 2005</w:t>
      </w:r>
      <w:r w:rsidR="35EE5B45" w:rsidRPr="1553EFF0">
        <w:rPr>
          <w:lang w:val="en-GB"/>
        </w:rPr>
        <w:t>)</w:t>
      </w:r>
      <w:r w:rsidR="59965110" w:rsidRPr="1553EFF0">
        <w:rPr>
          <w:lang w:val="en-GB"/>
        </w:rPr>
        <w:t xml:space="preserve"> </w:t>
      </w:r>
      <w:r w:rsidRPr="1553EFF0">
        <w:rPr>
          <w:lang w:val="en-GB"/>
        </w:rPr>
        <w:t>stud</w:t>
      </w:r>
      <w:r w:rsidR="0FD299FC" w:rsidRPr="1553EFF0">
        <w:rPr>
          <w:lang w:val="en-GB"/>
        </w:rPr>
        <w:t>ie</w:t>
      </w:r>
      <w:r w:rsidR="27EFB2D7" w:rsidRPr="1553EFF0">
        <w:rPr>
          <w:lang w:val="en-GB"/>
        </w:rPr>
        <w:t>s</w:t>
      </w:r>
      <w:r w:rsidRPr="1553EFF0">
        <w:rPr>
          <w:lang w:val="en-GB"/>
        </w:rPr>
        <w:t xml:space="preserve">.  </w:t>
      </w:r>
      <w:r w:rsidR="000A5255">
        <w:rPr>
          <w:lang w:val="en-GB"/>
        </w:rPr>
        <w:t>The pooled study</w:t>
      </w:r>
      <w:r w:rsidR="000A5255" w:rsidRPr="1553EFF0">
        <w:rPr>
          <w:lang w:val="en-GB"/>
        </w:rPr>
        <w:t xml:space="preserve"> </w:t>
      </w:r>
      <w:r w:rsidR="000A5255">
        <w:rPr>
          <w:lang w:val="en-GB"/>
        </w:rPr>
        <w:t xml:space="preserve">identified 60 case (241 matched controls), but a </w:t>
      </w:r>
      <w:r w:rsidRPr="1553EFF0">
        <w:rPr>
          <w:lang w:val="en-GB"/>
        </w:rPr>
        <w:t xml:space="preserve">weaker, non-significant trend for AML exposure (Rushton et al., 2014). The authors suggest that upon more stringent pathology review, some AML cases were re-classified to MDS and/or MPD diagnoses, which could account for the difference in results compared to previous updates.  It should also be noted for MDS and AML, the authors examined a more recent exposure window, and results did not support a higher risk for this time frame. </w:t>
      </w:r>
    </w:p>
    <w:p w14:paraId="268F8B16" w14:textId="40D553C4" w:rsidR="1553EFF0" w:rsidRDefault="1553EFF0" w:rsidP="1553EFF0">
      <w:pPr>
        <w:rPr>
          <w:lang w:val="en-GB"/>
        </w:rPr>
      </w:pPr>
    </w:p>
    <w:p w14:paraId="67C52542" w14:textId="24FB4098" w:rsidR="001658E1" w:rsidDel="005E74CB" w:rsidRDefault="001658E1" w:rsidP="003E1538">
      <w:pPr>
        <w:ind w:left="720" w:firstLine="720"/>
        <w:rPr>
          <w:lang w:val="en-GB"/>
        </w:rPr>
      </w:pPr>
      <w:r w:rsidRPr="3CD43A38">
        <w:rPr>
          <w:lang w:val="en-GB"/>
        </w:rPr>
        <w:t>Dow Study</w:t>
      </w:r>
      <w:r w:rsidR="005E2D2B" w:rsidRPr="3CD43A38">
        <w:rPr>
          <w:lang w:val="en-GB"/>
        </w:rPr>
        <w:t xml:space="preserve"> (</w:t>
      </w:r>
      <w:r w:rsidR="265E23F4" w:rsidRPr="3CD43A38">
        <w:rPr>
          <w:lang w:val="en-GB"/>
        </w:rPr>
        <w:t>Collins</w:t>
      </w:r>
      <w:r w:rsidR="5DEFAC3E" w:rsidRPr="3CD43A38">
        <w:rPr>
          <w:lang w:val="en-GB"/>
        </w:rPr>
        <w:t xml:space="preserve"> et al., 2015</w:t>
      </w:r>
      <w:r w:rsidR="005E2D2B" w:rsidRPr="3CD43A38">
        <w:rPr>
          <w:lang w:val="en-GB"/>
        </w:rPr>
        <w:t>)</w:t>
      </w:r>
      <w:commentRangeStart w:id="4"/>
      <w:commentRangeEnd w:id="4"/>
    </w:p>
    <w:p w14:paraId="1133460C" w14:textId="1D685DB7" w:rsidR="001658E1" w:rsidRDefault="001658E1" w:rsidP="001658E1">
      <w:pPr>
        <w:rPr>
          <w:highlight w:val="yellow"/>
          <w:lang w:val="en-GB"/>
        </w:rPr>
      </w:pPr>
      <w:r w:rsidRPr="1553EFF0" w:rsidDel="005E74CB">
        <w:rPr>
          <w:lang w:val="en-GB"/>
        </w:rPr>
        <w:t xml:space="preserve">A cohort of 2,266 benzene-exposed workers in Midland, Michigan, USA have been the subject of several studies, most recently in 2015 </w:t>
      </w:r>
      <w:r w:rsidR="00F75D55">
        <w:rPr>
          <w:lang w:val="en-GB"/>
        </w:rPr>
        <w:fldChar w:fldCharType="begin"/>
      </w:r>
      <w:r w:rsidR="00F75D55">
        <w:rPr>
          <w:lang w:val="en-GB"/>
        </w:rPr>
        <w:instrText xml:space="preserve"> ADDIN EN.CITE &lt;EndNote&gt;&lt;Cite&gt;&lt;Author&gt;Bloemen&lt;/Author&gt;&lt;Year&gt;2004&lt;/Year&gt;&lt;RecNum&gt;1019&lt;/RecNum&gt;&lt;DisplayText&gt;(Bloemen et al., 2004)&lt;/DisplayText&gt;&lt;record&gt;&lt;rec-number&gt;1019&lt;/rec-number&gt;&lt;foreign-keys&gt;&lt;key app="EN" db-id="0d0929f959rse9ex25rp09za5avf0ept9spf" timestamp="1564105169"&gt;1019&lt;/key&gt;&lt;/foreign-keys&gt;&lt;ref-type name="Journal Article"&gt;17&lt;/ref-type&gt;&lt;contributors&gt;&lt;authors&gt;&lt;author&gt;Bloemen, L J&lt;/author&gt;&lt;author&gt;Youk, A&lt;/author&gt;&lt;author&gt;Bradley, T D&lt;/author&gt;&lt;author&gt;Bodner, K M&lt;/author&gt;&lt;author&gt;Marsh, G&lt;/author&gt;&lt;/authors&gt;&lt;/contributors&gt;&lt;titles&gt;&lt;title&gt;Lymphohaematopoietic cancer risk among chemical workers exposed to benzene&lt;/title&gt;&lt;secondary-title&gt;Occupational and Environmental Medicine&lt;/secondary-title&gt;&lt;/titles&gt;&lt;periodical&gt;&lt;full-title&gt;Occupational and Environmental Medicine&lt;/full-title&gt;&lt;/periodical&gt;&lt;pages&gt;270-274&lt;/pages&gt;&lt;volume&gt;61&lt;/volume&gt;&lt;number&gt;3&lt;/number&gt;&lt;dates&gt;&lt;year&gt;2004&lt;/year&gt;&lt;/dates&gt;&lt;urls&gt;&lt;related-urls&gt;&lt;url&gt;https://oem.bmj.com/content/oemed/61/3/270.full.pdf&lt;/url&gt;&lt;/related-urls&gt;&lt;/urls&gt;&lt;electronic-resource-num&gt;10.1136/oem.2003.007013&lt;/electronic-resource-num&gt;&lt;/record&gt;&lt;/Cite&gt;&lt;/EndNote&gt;</w:instrText>
      </w:r>
      <w:r w:rsidR="00F75D55">
        <w:rPr>
          <w:lang w:val="en-GB"/>
        </w:rPr>
        <w:fldChar w:fldCharType="separate"/>
      </w:r>
      <w:r w:rsidR="00F75D55">
        <w:rPr>
          <w:noProof/>
          <w:lang w:val="en-GB"/>
        </w:rPr>
        <w:t>(</w:t>
      </w:r>
      <w:hyperlink w:anchor="_ENREF_5" w:tooltip="Bloemen, 2004 #1019" w:history="1">
        <w:r w:rsidR="004C59A6">
          <w:rPr>
            <w:noProof/>
            <w:lang w:val="en-GB"/>
          </w:rPr>
          <w:t>Bloemen et al., 2004</w:t>
        </w:r>
      </w:hyperlink>
      <w:r w:rsidR="00F75D55">
        <w:rPr>
          <w:noProof/>
          <w:lang w:val="en-GB"/>
        </w:rPr>
        <w:t>)</w:t>
      </w:r>
      <w:r w:rsidR="00F75D55">
        <w:rPr>
          <w:lang w:val="en-GB"/>
        </w:rPr>
        <w:fldChar w:fldCharType="end"/>
      </w:r>
      <w:r w:rsidRPr="001658E1" w:rsidDel="005E74CB">
        <w:rPr>
          <w:lang w:val="en-GB"/>
        </w:rPr>
        <w:t xml:space="preserve"> </w:t>
      </w:r>
      <w:r w:rsidRPr="1553EFF0" w:rsidDel="005E74CB">
        <w:rPr>
          <w:noProof/>
          <w:lang w:val="en-GB"/>
        </w:rPr>
        <w:t>(Collins et al., 2015)</w:t>
      </w:r>
      <w:r w:rsidRPr="1553EFF0" w:rsidDel="005E74CB">
        <w:rPr>
          <w:lang w:val="en-GB"/>
        </w:rPr>
        <w:t xml:space="preserve">. </w:t>
      </w:r>
      <w:r w:rsidR="00BA4B41">
        <w:rPr>
          <w:lang w:val="en-GB"/>
        </w:rPr>
        <w:t xml:space="preserve">The most recent update identified five acute myeloid leukaemias and five acute non-lymphatic </w:t>
      </w:r>
      <w:r w:rsidR="00242AF3">
        <w:rPr>
          <w:lang w:val="en-GB"/>
        </w:rPr>
        <w:t>leukaemia</w:t>
      </w:r>
      <w:r w:rsidR="00BA4B41">
        <w:rPr>
          <w:lang w:val="en-GB"/>
        </w:rPr>
        <w:t xml:space="preserve">, of which four of </w:t>
      </w:r>
      <w:r w:rsidR="00BA4B41" w:rsidRPr="000D47D4">
        <w:rPr>
          <w:lang w:val="en-GB"/>
        </w:rPr>
        <w:t xml:space="preserve">five in both cases had a latency &gt;30 years. </w:t>
      </w:r>
      <w:r w:rsidRPr="000D47D4" w:rsidDel="005E74CB">
        <w:rPr>
          <w:lang w:val="en-GB"/>
        </w:rPr>
        <w:t>Total leukaemia SMR is not significantly increased in these workers, nor for any specific leukaemia subtype. Dose-response analysis suggested a monotonic increase for total leukaemia and total myeloid leukaemia, but trend test results were not statistically significant. NHL risk decreased with cumulative exposure but was not statistically significant. It may be noteworthy that exposures for the Midland cohort appear lower than for Pliofilm and NCI-CAPM, as the cohort average cumulative exposure was 35.1 ppm-years, implying a working lifetime exposure average around 1 ppm.</w:t>
      </w:r>
    </w:p>
    <w:p w14:paraId="735007DD" w14:textId="77777777" w:rsidR="005E2D2B" w:rsidDel="005E74CB" w:rsidRDefault="005E2D2B" w:rsidP="001658E1">
      <w:pPr>
        <w:rPr>
          <w:highlight w:val="yellow"/>
          <w:lang w:val="en-GB"/>
        </w:rPr>
      </w:pPr>
    </w:p>
    <w:p w14:paraId="23259D24" w14:textId="4171AF27" w:rsidR="02A287E8" w:rsidRDefault="02A287E8" w:rsidP="1553EFF0">
      <w:pPr>
        <w:rPr>
          <w:lang w:val="en-GB"/>
        </w:rPr>
      </w:pPr>
      <w:commentRangeStart w:id="5"/>
      <w:commentRangeEnd w:id="5"/>
    </w:p>
    <w:p w14:paraId="07AB78F0" w14:textId="2D626A3F" w:rsidR="062A65E7" w:rsidRDefault="062A65E7" w:rsidP="003E1538">
      <w:pPr>
        <w:ind w:left="720" w:firstLine="720"/>
        <w:rPr>
          <w:lang w:val="en-GB"/>
        </w:rPr>
      </w:pPr>
      <w:r w:rsidRPr="1B2D6AA9">
        <w:rPr>
          <w:lang w:val="en-GB"/>
        </w:rPr>
        <w:t>Monsanto Study</w:t>
      </w:r>
      <w:r w:rsidR="31D42B93" w:rsidRPr="1B2D6AA9">
        <w:rPr>
          <w:lang w:val="en-GB"/>
        </w:rPr>
        <w:t xml:space="preserve"> (Collins et al., 2003)</w:t>
      </w:r>
      <w:commentRangeStart w:id="6"/>
      <w:commentRangeEnd w:id="6"/>
    </w:p>
    <w:p w14:paraId="4C4E8591" w14:textId="30757422" w:rsidR="02A287E8" w:rsidRDefault="02A287E8" w:rsidP="29F624C6">
      <w:pPr>
        <w:rPr>
          <w:lang w:val="en-GB"/>
        </w:rPr>
      </w:pPr>
      <w:r w:rsidRPr="1553EFF0">
        <w:rPr>
          <w:lang w:val="en-GB"/>
        </w:rPr>
        <w:t xml:space="preserve">A study of 4,417 benzene-exposed workers from a chemical plant in Sauget, Illinois, USA has been updated several times </w:t>
      </w:r>
      <w:r w:rsidRPr="1553EFF0">
        <w:rPr>
          <w:noProof/>
          <w:lang w:val="en-GB"/>
        </w:rPr>
        <w:t>(Collins et al., 2003)</w:t>
      </w:r>
      <w:r w:rsidRPr="1553EFF0">
        <w:rPr>
          <w:lang w:val="en-GB"/>
        </w:rPr>
        <w:t>. When evaluated on a cumulative benzene exposure metric, total leukaemia, MM, NHL, CLL, and ANLL SMR above 1 for multiple groups, but were not statistically significant for any groups. SMRs were increased in a near-monotonic manner for total leukaemia and ANLL</w:t>
      </w:r>
      <w:r w:rsidR="00942389">
        <w:rPr>
          <w:lang w:val="en-GB"/>
        </w:rPr>
        <w:t xml:space="preserve"> (7 cases versus 4.9 expected)</w:t>
      </w:r>
      <w:r w:rsidRPr="1553EFF0">
        <w:rPr>
          <w:lang w:val="en-GB"/>
        </w:rPr>
        <w:t xml:space="preserve">, but not MM or CLL. </w:t>
      </w:r>
      <w:r w:rsidRPr="00942389">
        <w:rPr>
          <w:lang w:val="en-GB"/>
        </w:rPr>
        <w:t>SMRs were not significantly increased when considering peak benzene exposures as number of work days with exposures &gt;100 ppm, and monotonic increases were not observed for any of the reported lymphohematopoietic neoplasms. However, the authors did conclude “number of peak exposures greater than 100 ppm to benzene [was] a better predictor of risk than cumulative exposure”, an interesting observation in the context of how the relationship between peak and cumulative exposure and health effects informs the likelihood of an effect threshold.</w:t>
      </w:r>
      <w:r w:rsidRPr="1553EFF0">
        <w:rPr>
          <w:lang w:val="en-GB"/>
        </w:rPr>
        <w:t xml:space="preserve"> Further, it may be noteworthy that the highest exposure group, &gt;6 ppm-years, implies lower cohort average exposures than that observed in Pliofilm or NCI-CAPM. </w:t>
      </w:r>
    </w:p>
    <w:p w14:paraId="62EE27EB" w14:textId="4FB38CF5" w:rsidR="1553EFF0" w:rsidRDefault="1553EFF0" w:rsidP="1553EFF0">
      <w:pPr>
        <w:rPr>
          <w:lang w:val="en-GB"/>
        </w:rPr>
      </w:pPr>
    </w:p>
    <w:p w14:paraId="135FCC75" w14:textId="3EDCB107" w:rsidR="1553EFF0" w:rsidRDefault="1553EFF0" w:rsidP="1553EFF0">
      <w:pPr>
        <w:rPr>
          <w:highlight w:val="yellow"/>
          <w:lang w:val="en-GB"/>
        </w:rPr>
      </w:pPr>
      <w:bookmarkStart w:id="7" w:name="_GoBack"/>
      <w:bookmarkEnd w:id="7"/>
    </w:p>
    <w:p w14:paraId="41407997" w14:textId="6FD78D41" w:rsidR="02A287E8" w:rsidRDefault="02A287E8" w:rsidP="29F624C6">
      <w:pPr>
        <w:rPr>
          <w:lang w:val="en-GB"/>
        </w:rPr>
      </w:pPr>
      <w:commentRangeStart w:id="8"/>
      <w:commentRangeEnd w:id="8"/>
      <w:r w:rsidRPr="29F624C6">
        <w:rPr>
          <w:lang w:val="en-GB"/>
        </w:rPr>
        <w:t>In total, there is consistent evidence from epidemiology studies for benzene increasing the risk for AML. MDS is more plausible than any other non-AML potential subtype</w:t>
      </w:r>
      <w:r w:rsidR="00A72F47">
        <w:rPr>
          <w:lang w:val="en-GB"/>
        </w:rPr>
        <w:t>,</w:t>
      </w:r>
      <w:r w:rsidRPr="29F624C6">
        <w:rPr>
          <w:lang w:val="en-GB"/>
        </w:rPr>
        <w:t xml:space="preserve"> but has not been as frequently evaluated. Both AML and MDS are myeloid in nature, and it is plausible AML and MDS are etiologically related if caused by benzene, with MDS being an earlier or marginally milder dysfunction in the event cascade that includes AML and aplastic anaemia at higher exposures or longer time periods. </w:t>
      </w:r>
      <w:r w:rsidR="00A72F47">
        <w:rPr>
          <w:lang w:val="en-GB"/>
        </w:rPr>
        <w:t xml:space="preserve">This myeloid character may initiate </w:t>
      </w:r>
      <w:r w:rsidRPr="29F624C6">
        <w:rPr>
          <w:lang w:val="en-GB"/>
        </w:rPr>
        <w:t>with myeloid lineage specific metabolism of hydroquinone or catechol to their respective reactive benzoquinone forms via myeloperoxidase catalysis</w:t>
      </w:r>
      <w:r w:rsidR="00A72F47">
        <w:rPr>
          <w:lang w:val="en-GB"/>
        </w:rPr>
        <w:t>.</w:t>
      </w:r>
      <w:r w:rsidRPr="29F624C6">
        <w:rPr>
          <w:lang w:val="en-GB"/>
        </w:rPr>
        <w:t xml:space="preserve"> </w:t>
      </w:r>
      <w:r w:rsidR="00A72F47">
        <w:rPr>
          <w:lang w:val="en-GB"/>
        </w:rPr>
        <w:t xml:space="preserve">These reactive metabolites could act via </w:t>
      </w:r>
      <w:r w:rsidRPr="29F624C6">
        <w:rPr>
          <w:lang w:val="en-GB"/>
        </w:rPr>
        <w:t>either indirect genotoxicity from oxidative stress, inhibition of topoisomerase II, or cycles of selective immune-mediated depletion followed by homeostatic proliferation of that myeloid lineage</w:t>
      </w:r>
      <w:r w:rsidR="00A72F47">
        <w:rPr>
          <w:lang w:val="en-GB"/>
        </w:rPr>
        <w:t>. The</w:t>
      </w:r>
      <w:r w:rsidR="005E2D2B">
        <w:rPr>
          <w:lang w:val="en-GB"/>
        </w:rPr>
        <w:t xml:space="preserve"> </w:t>
      </w:r>
      <w:r w:rsidRPr="29F624C6">
        <w:rPr>
          <w:lang w:val="en-GB"/>
        </w:rPr>
        <w:t xml:space="preserve">likelihood of AML and/or MDS appears strongest amongst all cancer types in relation to benzene </w:t>
      </w:r>
      <w:r w:rsidRPr="29F624C6">
        <w:rPr>
          <w:noProof/>
          <w:lang w:val="en-GB"/>
        </w:rPr>
        <w:t>(North et al., 2020)</w:t>
      </w:r>
      <w:r w:rsidRPr="29F624C6">
        <w:rPr>
          <w:lang w:val="en-GB"/>
        </w:rPr>
        <w:t xml:space="preserve">. In the context of potential for </w:t>
      </w:r>
      <w:r w:rsidR="00A72F47">
        <w:rPr>
          <w:lang w:val="en-GB"/>
        </w:rPr>
        <w:t>inclusion of</w:t>
      </w:r>
      <w:r w:rsidRPr="29F624C6">
        <w:rPr>
          <w:lang w:val="en-GB"/>
        </w:rPr>
        <w:t xml:space="preserve"> leukaemia</w:t>
      </w:r>
      <w:r w:rsidR="00A72F47">
        <w:rPr>
          <w:lang w:val="en-GB"/>
        </w:rPr>
        <w:t xml:space="preserve"> unrelated to benzene</w:t>
      </w:r>
      <w:r w:rsidRPr="29F624C6">
        <w:rPr>
          <w:lang w:val="en-GB"/>
        </w:rPr>
        <w:t xml:space="preserve"> to bias  potency estimates for benzene-caused leukaemia</w:t>
      </w:r>
      <w:r w:rsidR="00A72F47">
        <w:rPr>
          <w:lang w:val="en-GB"/>
        </w:rPr>
        <w:t xml:space="preserve"> (discussed above)</w:t>
      </w:r>
      <w:r w:rsidRPr="29F624C6">
        <w:rPr>
          <w:lang w:val="en-GB"/>
        </w:rPr>
        <w:t>, and the limited number of studies quantitatively considering MDS, it may appear prudent for analysts to consider focusing on benzene AML risk.</w:t>
      </w:r>
    </w:p>
    <w:p w14:paraId="644E7B17" w14:textId="754CEA47" w:rsidR="02A287E8" w:rsidRDefault="02A287E8" w:rsidP="29F624C6">
      <w:pPr>
        <w:rPr>
          <w:lang w:val="en-GB"/>
        </w:rPr>
      </w:pPr>
      <w:r w:rsidRPr="29F624C6">
        <w:rPr>
          <w:lang w:val="en-GB"/>
        </w:rPr>
        <w:t>In the MOA for benzene leukaemogenicity there are earlier events than cancer</w:t>
      </w:r>
      <w:r w:rsidR="00060087">
        <w:rPr>
          <w:lang w:val="en-GB"/>
        </w:rPr>
        <w:t xml:space="preserve">: </w:t>
      </w:r>
      <w:r w:rsidRPr="29F624C6">
        <w:rPr>
          <w:lang w:val="en-GB"/>
        </w:rPr>
        <w:t>bone marrow dysfunction, manifested as haematological changes</w:t>
      </w:r>
      <w:r w:rsidR="00060087">
        <w:rPr>
          <w:lang w:val="en-GB"/>
        </w:rPr>
        <w:t>,</w:t>
      </w:r>
      <w:r w:rsidRPr="29F624C6">
        <w:rPr>
          <w:lang w:val="en-GB"/>
        </w:rPr>
        <w:t xml:space="preserve"> and genetic damage observed in blood cells.</w:t>
      </w:r>
      <w:r w:rsidR="00951E48">
        <w:rPr>
          <w:lang w:val="en-GB"/>
        </w:rPr>
        <w:t xml:space="preserve"> </w:t>
      </w:r>
      <w:r w:rsidR="00E37C94">
        <w:rPr>
          <w:lang w:val="en-GB"/>
        </w:rPr>
        <w:t>In any MOA there are key events that are requirements for disease development, understood to occur in a series. Earlier events are occur at lower exposures, generally with a less severe consequence (</w:t>
      </w:r>
      <w:r w:rsidR="00E37C94">
        <w:rPr>
          <w:i/>
          <w:lang w:val="en-GB"/>
        </w:rPr>
        <w:t>i.e.,</w:t>
      </w:r>
      <w:r w:rsidR="00E37C94">
        <w:rPr>
          <w:lang w:val="en-GB"/>
        </w:rPr>
        <w:t xml:space="preserve"> subclinical changes in white blood cell counts are a less severe effect than AML). </w:t>
      </w:r>
      <w:r w:rsidRPr="29F624C6">
        <w:rPr>
          <w:lang w:val="en-GB"/>
        </w:rPr>
        <w:t>In preventing the earlier, less severe event in the MOA as the key health effect, it is reasonably anticipated that the later, more severe effect of cancer can be prevented. Thus, as we propose an OEL based on consideration of both haematologic and genetic effects there is no further need to identify a point of departure based on carcinogenic effects. It is prudent to consider if the derived limit is objectively in the range without significant increase in risk. In the case of benzene, a limit of 0.25 ppm to 0.5 ppm is in the range where the literature consistently shows a significant excess AML risk is not observed (</w:t>
      </w:r>
      <w:r w:rsidRPr="29F624C6">
        <w:rPr>
          <w:i/>
          <w:iCs/>
          <w:lang w:val="en-GB"/>
        </w:rPr>
        <w:t>e.g.</w:t>
      </w:r>
      <w:r w:rsidRPr="29F624C6">
        <w:rPr>
          <w:lang w:val="en-GB"/>
        </w:rPr>
        <w:t>, Pliofilm, NCI-CAPM, Norwegian offshore workers, Italian shoemakers).</w:t>
      </w:r>
    </w:p>
    <w:p w14:paraId="73CFEABF" w14:textId="46D107B0" w:rsidR="29F624C6" w:rsidRDefault="29F624C6" w:rsidP="29F624C6">
      <w:pPr>
        <w:rPr>
          <w:lang w:val="en-GB"/>
        </w:rPr>
      </w:pPr>
    </w:p>
    <w:p w14:paraId="6426B5FF" w14:textId="5E133CD5" w:rsidR="001177B7" w:rsidRDefault="001177B7" w:rsidP="001177B7">
      <w:pPr>
        <w:pStyle w:val="Heading1"/>
        <w:rPr>
          <w:lang w:val="en-GB"/>
        </w:rPr>
      </w:pPr>
      <w:r w:rsidRPr="00CD48FA">
        <w:rPr>
          <w:lang w:val="en-GB"/>
        </w:rPr>
        <w:t>Methods</w:t>
      </w:r>
    </w:p>
    <w:p w14:paraId="6176DB89" w14:textId="6C8E5FE7" w:rsidR="00AA6B7E" w:rsidRPr="00AA6B7E" w:rsidRDefault="00AA6B7E" w:rsidP="008A540D">
      <w:pPr>
        <w:rPr>
          <w:lang w:val="en-GB"/>
        </w:rPr>
      </w:pPr>
      <w:r>
        <w:rPr>
          <w:lang w:val="en-GB"/>
        </w:rPr>
        <w:t>Functions for the different models were written in R for Statistical Computing 3.5.1</w:t>
      </w:r>
      <w:r w:rsidR="008A540D">
        <w:rPr>
          <w:lang w:val="en-GB"/>
        </w:rPr>
        <w:t xml:space="preserve"> </w:t>
      </w:r>
      <w:r w:rsidR="002D2F9E">
        <w:rPr>
          <w:lang w:val="en-GB"/>
        </w:rPr>
        <w:fldChar w:fldCharType="begin"/>
      </w:r>
      <w:r w:rsidR="002D2F9E">
        <w:rPr>
          <w:lang w:val="en-GB"/>
        </w:rPr>
        <w:instrText xml:space="preserve"> ADDIN EN.CITE &lt;EndNote&gt;&lt;Cite&gt;&lt;Author&gt;R Core Team&lt;/Author&gt;&lt;Year&gt;2018&lt;/Year&gt;&lt;RecNum&gt;1158&lt;/RecNum&gt;&lt;DisplayText&gt;(R Core Team, 2018)&lt;/DisplayText&gt;&lt;record&gt;&lt;rec-number&gt;1158&lt;/rec-number&gt;&lt;foreign-keys&gt;&lt;key app="EN" db-id="0d0929f959rse9ex25rp09za5avf0ept9spf" timestamp="1589486857"&gt;1158&lt;/key&gt;&lt;/foreign-keys&gt;&lt;ref-type name="Web Page"&gt;12&lt;/ref-type&gt;&lt;contributors&gt;&lt;authors&gt;&lt;author&gt;R Core Team,&lt;/author&gt;&lt;/authors&gt;&lt;/contributors&gt;&lt;titles&gt;&lt;title&gt;R: A language and environment for statistical computing.&lt;/title&gt;&lt;/titles&gt;&lt;dates&gt;&lt;year&gt;2018&lt;/year&gt;&lt;/dates&gt;&lt;publisher&gt;R Foundation for Statistical Computing, Vienna, Austria.&lt;/publisher&gt;&lt;urls&gt;&lt;related-urls&gt;&lt;url&gt;https://www.R-project.org/&lt;/url&gt;&lt;/related-urls&gt;&lt;/urls&gt;&lt;/record&gt;&lt;/Cite&gt;&lt;/EndNote&gt;</w:instrText>
      </w:r>
      <w:r w:rsidR="002D2F9E">
        <w:rPr>
          <w:lang w:val="en-GB"/>
        </w:rPr>
        <w:fldChar w:fldCharType="separate"/>
      </w:r>
      <w:r w:rsidR="002D2F9E">
        <w:rPr>
          <w:noProof/>
          <w:lang w:val="en-GB"/>
        </w:rPr>
        <w:t>(</w:t>
      </w:r>
      <w:hyperlink w:anchor="_ENREF_24" w:tooltip="R Core Team, 2018 #1158" w:history="1">
        <w:r w:rsidR="004C59A6">
          <w:rPr>
            <w:noProof/>
            <w:lang w:val="en-GB"/>
          </w:rPr>
          <w:t>R Core Team, 2018</w:t>
        </w:r>
      </w:hyperlink>
      <w:r w:rsidR="002D2F9E">
        <w:rPr>
          <w:noProof/>
          <w:lang w:val="en-GB"/>
        </w:rPr>
        <w:t>)</w:t>
      </w:r>
      <w:r w:rsidR="002D2F9E">
        <w:rPr>
          <w:lang w:val="en-GB"/>
        </w:rPr>
        <w:fldChar w:fldCharType="end"/>
      </w:r>
      <w:r>
        <w:rPr>
          <w:lang w:val="en-GB"/>
        </w:rPr>
        <w:t>.</w:t>
      </w:r>
      <w:r w:rsidR="008A540D">
        <w:rPr>
          <w:lang w:val="en-GB"/>
        </w:rPr>
        <w:t xml:space="preserve"> Plots were generated in ggplot2 </w:t>
      </w:r>
      <w:r w:rsidR="002D2F9E">
        <w:rPr>
          <w:lang w:val="en-GB"/>
        </w:rPr>
        <w:fldChar w:fldCharType="begin"/>
      </w:r>
      <w:r w:rsidR="002D2F9E">
        <w:rPr>
          <w:lang w:val="en-GB"/>
        </w:rPr>
        <w:instrText xml:space="preserve"> ADDIN EN.CITE &lt;EndNote&gt;&lt;Cite&gt;&lt;Author&gt;Wickham&lt;/Author&gt;&lt;Year&gt;2016&lt;/Year&gt;&lt;RecNum&gt;1159&lt;/RecNum&gt;&lt;DisplayText&gt;(Wickham, 2016)&lt;/DisplayText&gt;&lt;record&gt;&lt;rec-number&gt;1159&lt;/rec-number&gt;&lt;foreign-keys&gt;&lt;key app="EN" db-id="0d0929f959rse9ex25rp09za5avf0ept9spf" timestamp="1589487018"&gt;1159&lt;/key&gt;&lt;/foreign-keys&gt;&lt;ref-type name="Book"&gt;6&lt;/ref-type&gt;&lt;contributors&gt;&lt;authors&gt;&lt;author&gt;Wickham, Hadley&lt;/author&gt;&lt;/authors&gt;&lt;/contributors&gt;&lt;titles&gt;&lt;title&gt;ggplot2: Elegant Graphics for Data Analysis&lt;/title&gt;&lt;/titles&gt;&lt;dates&gt;&lt;year&gt;2016&lt;/year&gt;&lt;/dates&gt;&lt;publisher&gt;Springer-Verlag New York, 2016&lt;/publisher&gt;&lt;urls&gt;&lt;/urls&gt;&lt;/record&gt;&lt;/Cite&gt;&lt;/EndNote&gt;</w:instrText>
      </w:r>
      <w:r w:rsidR="002D2F9E">
        <w:rPr>
          <w:lang w:val="en-GB"/>
        </w:rPr>
        <w:fldChar w:fldCharType="separate"/>
      </w:r>
      <w:r w:rsidR="002D2F9E">
        <w:rPr>
          <w:noProof/>
          <w:lang w:val="en-GB"/>
        </w:rPr>
        <w:t>(</w:t>
      </w:r>
      <w:hyperlink w:anchor="_ENREF_40" w:tooltip="Wickham, 2016 #1159" w:history="1">
        <w:r w:rsidR="004C59A6">
          <w:rPr>
            <w:noProof/>
            <w:lang w:val="en-GB"/>
          </w:rPr>
          <w:t>Wickham, 2016</w:t>
        </w:r>
      </w:hyperlink>
      <w:r w:rsidR="002D2F9E">
        <w:rPr>
          <w:noProof/>
          <w:lang w:val="en-GB"/>
        </w:rPr>
        <w:t>)</w:t>
      </w:r>
      <w:r w:rsidR="002D2F9E">
        <w:rPr>
          <w:lang w:val="en-GB"/>
        </w:rPr>
        <w:fldChar w:fldCharType="end"/>
      </w:r>
      <w:r w:rsidR="008A540D">
        <w:rPr>
          <w:lang w:val="en-GB"/>
        </w:rPr>
        <w:t>.</w:t>
      </w:r>
      <w:r>
        <w:rPr>
          <w:lang w:val="en-GB"/>
        </w:rPr>
        <w:t xml:space="preserve"> Model code is available as supplementary information.</w:t>
      </w:r>
    </w:p>
    <w:p w14:paraId="725D5331" w14:textId="42ACB764" w:rsidR="0005608B" w:rsidRPr="00CD48FA" w:rsidRDefault="00AA6B7E" w:rsidP="0005608B">
      <w:pPr>
        <w:pStyle w:val="Heading2"/>
        <w:rPr>
          <w:lang w:val="en-GB"/>
        </w:rPr>
      </w:pPr>
      <w:r>
        <w:rPr>
          <w:lang w:val="en-GB"/>
        </w:rPr>
        <w:t>LNT</w:t>
      </w:r>
      <w:r w:rsidR="0005608B" w:rsidRPr="00CD48FA">
        <w:rPr>
          <w:lang w:val="en-GB"/>
        </w:rPr>
        <w:t xml:space="preserve"> </w:t>
      </w:r>
      <w:r w:rsidR="003A2BEB">
        <w:rPr>
          <w:lang w:val="en-GB"/>
        </w:rPr>
        <w:t>Model</w:t>
      </w:r>
    </w:p>
    <w:p w14:paraId="2628FA6F" w14:textId="791A21E3" w:rsidR="0031002A" w:rsidRDefault="0031002A" w:rsidP="0005608B">
      <w:pPr>
        <w:rPr>
          <w:lang w:val="en-GB"/>
        </w:rPr>
      </w:pPr>
      <w:r w:rsidRPr="00CD48FA">
        <w:rPr>
          <w:lang w:val="en-GB"/>
        </w:rPr>
        <w:t xml:space="preserve">As a basis for establishing an </w:t>
      </w:r>
      <w:r w:rsidR="00C2706D" w:rsidRPr="00CD48FA">
        <w:rPr>
          <w:lang w:val="en-GB"/>
        </w:rPr>
        <w:t xml:space="preserve">upper </w:t>
      </w:r>
      <w:r w:rsidRPr="00CD48FA">
        <w:rPr>
          <w:lang w:val="en-GB"/>
        </w:rPr>
        <w:t xml:space="preserve">anchor point for the </w:t>
      </w:r>
      <w:r w:rsidR="00AA6B7E" w:rsidRPr="1B2D6AA9">
        <w:rPr>
          <w:lang w:val="en-GB"/>
        </w:rPr>
        <w:t>LNT</w:t>
      </w:r>
      <w:r w:rsidRPr="00CD48FA">
        <w:rPr>
          <w:lang w:val="en-GB"/>
        </w:rPr>
        <w:t xml:space="preserve"> risk model </w:t>
      </w:r>
      <w:r w:rsidR="003A2BEB">
        <w:rPr>
          <w:lang w:val="en-GB"/>
        </w:rPr>
        <w:t>a 1% risk (ED01)</w:t>
      </w:r>
      <w:r w:rsidRPr="00CD48FA">
        <w:rPr>
          <w:lang w:val="en-GB"/>
        </w:rPr>
        <w:t xml:space="preserve"> </w:t>
      </w:r>
      <w:r w:rsidR="0005608B" w:rsidRPr="00CD48FA">
        <w:rPr>
          <w:lang w:val="en-GB"/>
        </w:rPr>
        <w:t xml:space="preserve"> </w:t>
      </w:r>
      <w:r w:rsidRPr="00CD48FA">
        <w:rPr>
          <w:lang w:val="en-GB"/>
        </w:rPr>
        <w:t xml:space="preserve">was sought. </w:t>
      </w:r>
      <w:r w:rsidR="0005608B">
        <w:rPr>
          <w:lang w:val="en-GB"/>
        </w:rPr>
        <w:t xml:space="preserve">Estimates for </w:t>
      </w:r>
      <w:r w:rsidR="003A2BEB">
        <w:rPr>
          <w:lang w:val="en-GB"/>
        </w:rPr>
        <w:t xml:space="preserve">ED01 </w:t>
      </w:r>
      <w:r w:rsidR="0005608B">
        <w:rPr>
          <w:lang w:val="en-GB"/>
        </w:rPr>
        <w:t xml:space="preserve">were </w:t>
      </w:r>
      <w:r w:rsidR="3806344C" w:rsidRPr="1B2D6AA9">
        <w:rPr>
          <w:lang w:val="en-GB"/>
        </w:rPr>
        <w:t xml:space="preserve">based on the method described in </w:t>
      </w:r>
      <w:r w:rsidR="0005608B">
        <w:rPr>
          <w:lang w:val="en-GB"/>
        </w:rPr>
        <w:t xml:space="preserve">the </w:t>
      </w:r>
      <w:r w:rsidR="00986BAE" w:rsidRPr="1B2D6AA9">
        <w:rPr>
          <w:lang w:val="en-GB"/>
        </w:rPr>
        <w:t>German</w:t>
      </w:r>
      <w:r w:rsidR="00FB384A" w:rsidRPr="1B2D6AA9">
        <w:rPr>
          <w:lang w:val="en-GB"/>
        </w:rPr>
        <w:t xml:space="preserve"> </w:t>
      </w:r>
      <w:r w:rsidR="0005608B" w:rsidRPr="1B2D6AA9">
        <w:rPr>
          <w:lang w:val="en-GB"/>
        </w:rPr>
        <w:t>AGS report</w:t>
      </w:r>
      <w:r w:rsidR="00AD3308" w:rsidRPr="1B2D6AA9">
        <w:rPr>
          <w:lang w:val="en-GB"/>
        </w:rPr>
        <w:t xml:space="preserve"> </w:t>
      </w:r>
      <w:r w:rsidR="00AD3308" w:rsidRPr="1B2D6AA9">
        <w:rPr>
          <w:lang w:val="en"/>
        </w:rPr>
        <w:t>which</w:t>
      </w:r>
      <w:r w:rsidR="000164BD" w:rsidRPr="1B2D6AA9">
        <w:rPr>
          <w:lang w:val="en"/>
        </w:rPr>
        <w:t xml:space="preserve"> </w:t>
      </w:r>
      <w:r w:rsidR="00AD3308" w:rsidRPr="1B2D6AA9">
        <w:rPr>
          <w:lang w:val="en"/>
        </w:rPr>
        <w:t xml:space="preserve">estimates risk for </w:t>
      </w:r>
      <w:r w:rsidR="352CCB4A" w:rsidRPr="1B2D6AA9">
        <w:rPr>
          <w:lang w:val="en"/>
        </w:rPr>
        <w:t xml:space="preserve">total </w:t>
      </w:r>
      <w:r w:rsidR="5D083AB9" w:rsidRPr="1B2D6AA9">
        <w:rPr>
          <w:lang w:val="en"/>
        </w:rPr>
        <w:t>leukaem</w:t>
      </w:r>
      <w:r w:rsidR="00AD3308" w:rsidRPr="1B2D6AA9">
        <w:rPr>
          <w:lang w:val="en"/>
        </w:rPr>
        <w:t>ia after exposure to benzene based on epidemiological data</w:t>
      </w:r>
      <w:r w:rsidR="0005608B">
        <w:rPr>
          <w:lang w:val="en-GB"/>
        </w:rPr>
        <w:fldChar w:fldCharType="begin"/>
      </w:r>
      <w:r w:rsidR="004C6879">
        <w:rPr>
          <w:lang w:val="en-GB"/>
        </w:rPr>
        <w:instrText xml:space="preserve"> ADDIN EN.CITE &lt;EndNote&gt;&lt;Cite&gt;&lt;Author&gt;AGS&lt;/Author&gt;&lt;Year&gt;2012&lt;/Year&gt;&lt;RecNum&gt;1092&lt;/RecNum&gt;&lt;Prefix&gt;reported in Table 11 [p.38] of &lt;/Prefix&gt;&lt;DisplayText&gt;(reported in Table 11 [p.38] of AGS, 2012)&lt;/DisplayText&gt;&lt;record&gt;&lt;rec-number&gt;1092&lt;/rec-number&gt;&lt;foreign-keys&gt;&lt;key app="EN" db-id="0d0929f959rse9ex25rp09za5avf0ept9spf" timestamp="1580849538"&gt;1092&lt;/key&gt;&lt;/foreign-keys&gt;&lt;ref-type name="Government Document"&gt;46&lt;/ref-type&gt;&lt;contributors&gt;&lt;authors&gt;&lt;author&gt;AGS&lt;/author&gt;&lt;/authors&gt;&lt;/contributors&gt;&lt;titles&gt;&lt;title&gt;Begründung zu Benzol in BekGS&lt;/title&gt;&lt;/titles&gt;&lt;dates&gt;&lt;year&gt;2012&lt;/year&gt;&lt;/dates&gt;&lt;isbn&gt;910&lt;/isbn&gt;&lt;urls&gt;&lt;related-urls&gt;&lt;url&gt;https://www.baua.de/DE/Angebote/Rechtstexte-und-Technische-Regeln/Regelwerk/TRGS/pdf/910/910-benzol.pdf?__blob=publicationFile&amp;amp;v=2&lt;/url&gt;&lt;/related-urls&gt;&lt;/urls&gt;&lt;custom1&gt;Bundesanstalt fur Arbeitsschutz und Arbeitsmedizin&lt;/custom1&gt;&lt;/record&gt;&lt;/Cite&gt;&lt;/EndNote&gt;</w:instrText>
      </w:r>
      <w:r w:rsidR="0005608B">
        <w:rPr>
          <w:lang w:val="en-GB"/>
        </w:rPr>
        <w:fldChar w:fldCharType="separate"/>
      </w:r>
      <w:r w:rsidR="004C6879">
        <w:rPr>
          <w:noProof/>
          <w:lang w:val="en-GB"/>
        </w:rPr>
        <w:t>(</w:t>
      </w:r>
      <w:hyperlink w:anchor="_ENREF_3" w:tooltip="AGS, 2012 #1092" w:history="1">
        <w:r w:rsidR="004C59A6">
          <w:rPr>
            <w:noProof/>
            <w:lang w:val="en-GB"/>
          </w:rPr>
          <w:t>reported in Table 11 [p.38] of AGS, 2012</w:t>
        </w:r>
      </w:hyperlink>
      <w:r w:rsidR="004C6879">
        <w:rPr>
          <w:noProof/>
          <w:lang w:val="en-GB"/>
        </w:rPr>
        <w:t>)</w:t>
      </w:r>
      <w:r w:rsidR="0005608B">
        <w:rPr>
          <w:lang w:val="en-GB"/>
        </w:rPr>
        <w:fldChar w:fldCharType="end"/>
      </w:r>
      <w:r w:rsidR="0005608B">
        <w:rPr>
          <w:lang w:val="en-GB"/>
        </w:rPr>
        <w:t>.</w:t>
      </w:r>
      <w:r w:rsidR="0005608B" w:rsidRPr="00CD48FA">
        <w:rPr>
          <w:lang w:val="en-GB"/>
        </w:rPr>
        <w:t xml:space="preserve"> </w:t>
      </w:r>
      <w:r w:rsidRPr="00CD48FA">
        <w:rPr>
          <w:lang w:val="en-GB"/>
        </w:rPr>
        <w:t>Benzene AML risk has been assessed in multiple populations globally, with several of the populations reassessed</w:t>
      </w:r>
      <w:r w:rsidR="00B22F85" w:rsidRPr="00CD48FA">
        <w:rPr>
          <w:lang w:val="en-GB"/>
        </w:rPr>
        <w:t xml:space="preserve"> on more than one occasion. </w:t>
      </w:r>
      <w:r w:rsidR="059612E6" w:rsidRPr="1B2D6AA9">
        <w:rPr>
          <w:lang w:val="en-GB"/>
        </w:rPr>
        <w:t xml:space="preserve">Thus, we sought to establish a comparable </w:t>
      </w:r>
      <w:r w:rsidR="003A2BEB">
        <w:rPr>
          <w:lang w:val="en-GB"/>
        </w:rPr>
        <w:t>ED01</w:t>
      </w:r>
      <w:r w:rsidR="059612E6" w:rsidRPr="1B2D6AA9">
        <w:rPr>
          <w:lang w:val="en-GB"/>
        </w:rPr>
        <w:t xml:space="preserve"> ba</w:t>
      </w:r>
      <w:r w:rsidR="4415C0CE" w:rsidRPr="1B2D6AA9">
        <w:rPr>
          <w:lang w:val="en-GB"/>
        </w:rPr>
        <w:t>s</w:t>
      </w:r>
      <w:r w:rsidR="059612E6" w:rsidRPr="1B2D6AA9">
        <w:rPr>
          <w:lang w:val="en-GB"/>
        </w:rPr>
        <w:t>ed on A</w:t>
      </w:r>
      <w:r w:rsidR="6B0968F6" w:rsidRPr="1B2D6AA9">
        <w:rPr>
          <w:lang w:val="en-GB"/>
        </w:rPr>
        <w:t xml:space="preserve">ML </w:t>
      </w:r>
      <w:r w:rsidR="404C99E5" w:rsidRPr="1B2D6AA9">
        <w:rPr>
          <w:lang w:val="en-GB"/>
        </w:rPr>
        <w:t xml:space="preserve">based on the latest updated studies </w:t>
      </w:r>
      <w:r w:rsidR="6B0968F6" w:rsidRPr="1B2D6AA9">
        <w:rPr>
          <w:lang w:val="en-GB"/>
        </w:rPr>
        <w:t>r</w:t>
      </w:r>
      <w:r w:rsidR="6320CC29" w:rsidRPr="1B2D6AA9">
        <w:rPr>
          <w:lang w:val="en-GB"/>
        </w:rPr>
        <w:t xml:space="preserve">ather than </w:t>
      </w:r>
      <w:r w:rsidR="70A811FD" w:rsidRPr="1B2D6AA9">
        <w:rPr>
          <w:lang w:val="en-GB"/>
        </w:rPr>
        <w:t xml:space="preserve">total </w:t>
      </w:r>
      <w:r w:rsidR="00333C84" w:rsidRPr="1B2D6AA9">
        <w:rPr>
          <w:lang w:val="en-GB"/>
        </w:rPr>
        <w:t>leukaemia</w:t>
      </w:r>
      <w:r w:rsidR="70A811FD" w:rsidRPr="1B2D6AA9">
        <w:rPr>
          <w:lang w:val="en-GB"/>
        </w:rPr>
        <w:t xml:space="preserve">.  </w:t>
      </w:r>
      <w:r w:rsidR="775801F5" w:rsidRPr="1B2D6AA9">
        <w:rPr>
          <w:lang w:val="en-GB"/>
        </w:rPr>
        <w:t>Five of the six studies used by AGS have been updated since their report</w:t>
      </w:r>
      <w:r w:rsidR="003A2BEB">
        <w:rPr>
          <w:lang w:val="en-GB"/>
        </w:rPr>
        <w:t>.</w:t>
      </w:r>
      <w:r w:rsidR="775801F5" w:rsidRPr="1B2D6AA9">
        <w:rPr>
          <w:lang w:val="en-GB"/>
        </w:rPr>
        <w:t xml:space="preserve"> </w:t>
      </w:r>
      <w:r w:rsidR="38334E2D" w:rsidRPr="1B2D6AA9">
        <w:rPr>
          <w:lang w:val="en-GB"/>
        </w:rPr>
        <w:t xml:space="preserve">The </w:t>
      </w:r>
      <w:r w:rsidR="003A2BEB">
        <w:rPr>
          <w:lang w:val="en-GB"/>
        </w:rPr>
        <w:t>Pliofilm</w:t>
      </w:r>
      <w:r w:rsidR="38334E2D" w:rsidRPr="1B2D6AA9">
        <w:rPr>
          <w:lang w:val="en-GB"/>
        </w:rPr>
        <w:t xml:space="preserve"> study by </w:t>
      </w:r>
      <w:hyperlink w:anchor="_ENREF_25" w:tooltip="Rhomberg, 2016 #672" w:history="1">
        <w:r w:rsidR="004C59A6">
          <w:rPr>
            <w:lang w:val="en-GB"/>
          </w:rPr>
          <w:fldChar w:fldCharType="begin"/>
        </w:r>
        <w:r w:rsidR="004C59A6">
          <w:rPr>
            <w:lang w:val="en-GB"/>
          </w:rPr>
          <w:instrText xml:space="preserve"> ADDIN EN.CITE &lt;EndNote&gt;&lt;Cite AuthorYear="1"&gt;&lt;Author&gt;Rhomberg&lt;/Author&gt;&lt;Year&gt;2016&lt;/Year&gt;&lt;RecNum&gt;672&lt;/RecNum&gt;&lt;DisplayText&gt;Rhomberg et al. (2016)&lt;/DisplayText&gt;&lt;record&gt;&lt;rec-number&gt;672&lt;/rec-number&gt;&lt;foreign-keys&gt;&lt;key app="EN" db-id="0d0929f959rse9ex25rp09za5avf0ept9spf" timestamp="1501269228"&gt;672&lt;/key&gt;&lt;/foreign-keys&gt;&lt;ref-type name="Journal Article"&gt;17&lt;/ref-type&gt;&lt;contributors&gt;&lt;authors&gt;&lt;author&gt;Rhomberg, Lorenz&lt;/author&gt;&lt;author&gt;Goodman, Julie&lt;/author&gt;&lt;author&gt;Tao, Ge&lt;/author&gt;&lt;author&gt;Zu, Ke&lt;/author&gt;&lt;author&gt;Chandalia, Juhi&lt;/author&gt;&lt;author&gt;Williams, Pamela R.D.&lt;/author&gt;&lt;author&gt;Allen, Bruce&lt;/author&gt;&lt;/authors&gt;&lt;/contributors&gt;&lt;titles&gt;&lt;title&gt;Evaluation of Acute Nonlymphocytic Leukemia and Its Subtypes With Updated Benzene Exposure and Mortality Estimates: A Lifetable Analysis of the Pliofilm Cohort&lt;/title&gt;&lt;secondary-title&gt;Journal of Occupational and Environmental Medicine&lt;/secondary-title&gt;&lt;/titles&gt;&lt;periodical&gt;&lt;full-title&gt;Journal of Occupational and Environmental Medicine&lt;/full-title&gt;&lt;/periodical&gt;&lt;pages&gt;414-420&lt;/pages&gt;&lt;volume&gt;58&lt;/volume&gt;&lt;number&gt;4&lt;/number&gt;&lt;dates&gt;&lt;year&gt;2016&lt;/year&gt;&lt;/dates&gt;&lt;isbn&gt;1076-2752&lt;/isbn&gt;&lt;accession-num&gt;00043764-201604000-00015&lt;/accession-num&gt;&lt;urls&gt;&lt;related-urls&gt;&lt;url&gt;http://journals.lww.com/joem/Fulltext/2016/04000/Evaluation_of_Acute_Nonlymphocytic_Leukemia_and.15.aspx&lt;/url&gt;&lt;/related-urls&gt;&lt;/urls&gt;&lt;electronic-resource-num&gt;10.1097/jom.0000000000000689&lt;/electronic-resource-num&gt;&lt;/record&gt;&lt;/Cite&gt;&lt;/EndNote&gt;</w:instrText>
        </w:r>
        <w:r w:rsidR="004C59A6">
          <w:rPr>
            <w:lang w:val="en-GB"/>
          </w:rPr>
          <w:fldChar w:fldCharType="separate"/>
        </w:r>
        <w:r w:rsidR="004C59A6">
          <w:rPr>
            <w:noProof/>
            <w:lang w:val="en-GB"/>
          </w:rPr>
          <w:t>Rhomberg et al. (2016)</w:t>
        </w:r>
        <w:r w:rsidR="004C59A6">
          <w:rPr>
            <w:lang w:val="en-GB"/>
          </w:rPr>
          <w:fldChar w:fldCharType="end"/>
        </w:r>
      </w:hyperlink>
      <w:r w:rsidR="775801F5" w:rsidRPr="1B2D6AA9">
        <w:rPr>
          <w:lang w:val="en-GB"/>
        </w:rPr>
        <w:t xml:space="preserve">; </w:t>
      </w:r>
      <w:r w:rsidR="0007366D">
        <w:rPr>
          <w:lang w:val="en-GB"/>
        </w:rPr>
        <w:t>the</w:t>
      </w:r>
      <w:r w:rsidR="4EF43716" w:rsidRPr="1B2D6AA9">
        <w:rPr>
          <w:lang w:val="en-GB"/>
        </w:rPr>
        <w:t xml:space="preserve"> National Cancer </w:t>
      </w:r>
      <w:r w:rsidR="003A2BEB">
        <w:rPr>
          <w:lang w:val="en-GB"/>
        </w:rPr>
        <w:t>Institute</w:t>
      </w:r>
      <w:r w:rsidR="4EF43716" w:rsidRPr="1B2D6AA9">
        <w:rPr>
          <w:lang w:val="en-GB"/>
        </w:rPr>
        <w:t xml:space="preserve"> China study by </w:t>
      </w:r>
      <w:hyperlink w:anchor="_ENREF_22" w:tooltip="Linet, 2019 #1029" w:history="1">
        <w:r w:rsidR="004C59A6">
          <w:rPr>
            <w:lang w:val="en-GB"/>
          </w:rPr>
          <w:fldChar w:fldCharType="begin"/>
        </w:r>
        <w:r w:rsidR="004C59A6">
          <w:rPr>
            <w:lang w:val="en-GB"/>
          </w:rPr>
          <w:instrText xml:space="preserve"> ADDIN EN.CITE &lt;EndNote&gt;&lt;Cite AuthorYear="1"&gt;&lt;Author&gt;Linet&lt;/Author&gt;&lt;Year&gt;2019&lt;/Year&gt;&lt;RecNum&gt;1029&lt;/RecNum&gt;&lt;DisplayText&gt;Linet et al. (2019)&lt;/DisplayText&gt;&lt;record&gt;&lt;rec-number&gt;1029&lt;/rec-number&gt;&lt;foreign-keys&gt;&lt;key app="EN" db-id="0d0929f959rse9ex25rp09za5avf0ept9spf" timestamp="1564693684"&gt;1029&lt;/key&gt;&lt;/foreign-keys&gt;&lt;ref-type name="Journal Article"&gt;17&lt;/ref-type&gt;&lt;contributors&gt;&lt;authors&gt;&lt;author&gt;Linet, Martha S&lt;/author&gt;&lt;author&gt;Gilbert, Ethel S&lt;/author&gt;&lt;author&gt;Vermeulen, Roel&lt;/author&gt;&lt;author&gt;Dores, Graça M&lt;/author&gt;&lt;author&gt;Yin, Song-Nian&lt;/author&gt;&lt;author&gt;Portengen, Lutzen&lt;/author&gt;&lt;author&gt;Hayes, Richard B&lt;/author&gt;&lt;author&gt;Ji, Bu-Tian&lt;/author&gt;&lt;author&gt;Lan, Qing&lt;/author&gt;&lt;author&gt;Li, Gui-Lan&lt;/author&gt;&lt;author&gt;Rothman, Nathaniel&lt;/author&gt;&lt;author&gt;Chinese Center for Disease Control&lt;/author&gt;&lt;author&gt;Prevention–US National Cancer Institute Benzene Study Group&lt;/author&gt;&lt;/authors&gt;&lt;/contributors&gt;&lt;titles&gt;&lt;title&gt;Benzene Exposure Response and Risk of Myeloid Neoplasms in Chinese Workers: A Multicenter Case–Cohort Study&lt;/title&gt;&lt;secondary-title&gt;JNCI: Journal of the National Cancer Institute&lt;/secondary-title&gt;&lt;/titles&gt;&lt;periodical&gt;&lt;full-title&gt;JNCI: Journal of the National Cancer Institute&lt;/full-title&gt;&lt;/periodical&gt;&lt;pages&gt;465-474&lt;/pages&gt;&lt;volume&gt;111&lt;/volume&gt;&lt;number&gt;5&lt;/number&gt;&lt;dates&gt;&lt;year&gt;2019&lt;/year&gt;&lt;/dates&gt;&lt;isbn&gt;0027-8874&lt;/isbn&gt;&lt;urls&gt;&lt;related-urls&gt;&lt;url&gt;https://doi.org/10.1093/jnci/djy143&lt;/url&gt;&lt;/related-urls&gt;&lt;/urls&gt;&lt;electronic-resource-num&gt;10.1093/jnci/djy143&lt;/electronic-resource-num&gt;&lt;access-date&gt;8/1/2019&lt;/access-date&gt;&lt;/record&gt;&lt;/Cite&gt;&lt;/EndNote&gt;</w:instrText>
        </w:r>
        <w:r w:rsidR="004C59A6">
          <w:rPr>
            <w:lang w:val="en-GB"/>
          </w:rPr>
          <w:fldChar w:fldCharType="separate"/>
        </w:r>
        <w:r w:rsidR="004C59A6">
          <w:rPr>
            <w:noProof/>
            <w:lang w:val="en-GB"/>
          </w:rPr>
          <w:t>Linet et al. (2019)</w:t>
        </w:r>
        <w:r w:rsidR="004C59A6">
          <w:rPr>
            <w:lang w:val="en-GB"/>
          </w:rPr>
          <w:fldChar w:fldCharType="end"/>
        </w:r>
      </w:hyperlink>
      <w:r w:rsidR="420EC5EC" w:rsidRPr="1B2D6AA9">
        <w:rPr>
          <w:lang w:val="en-GB"/>
        </w:rPr>
        <w:t xml:space="preserve">; </w:t>
      </w:r>
      <w:r w:rsidR="0007366D">
        <w:rPr>
          <w:lang w:val="en-GB"/>
        </w:rPr>
        <w:t>the</w:t>
      </w:r>
      <w:r w:rsidR="70982C13" w:rsidRPr="1B2D6AA9">
        <w:rPr>
          <w:lang w:val="en-GB"/>
        </w:rPr>
        <w:t xml:space="preserve"> </w:t>
      </w:r>
      <w:hyperlink w:anchor="_ENREF_14" w:tooltip="Glass, 2005 #982" w:history="1">
        <w:r w:rsidR="004C59A6">
          <w:rPr>
            <w:lang w:val="en-GB"/>
          </w:rPr>
          <w:fldChar w:fldCharType="begin"/>
        </w:r>
        <w:r w:rsidR="004C59A6">
          <w:rPr>
            <w:lang w:val="en-GB"/>
          </w:rPr>
          <w:instrText xml:space="preserve"> ADDIN EN.CITE &lt;EndNote&gt;&lt;Cite AuthorYear="1"&gt;&lt;Author&gt;Glass&lt;/Author&gt;&lt;Year&gt;2005&lt;/Year&gt;&lt;RecNum&gt;982&lt;/RecNum&gt;&lt;DisplayText&gt;Glass et al. (2005)&lt;/DisplayText&gt;&lt;record&gt;&lt;rec-number&gt;982&lt;/rec-number&gt;&lt;foreign-keys&gt;&lt;key app="EN" db-id="0d0929f959rse9ex25rp09za5avf0ept9spf" timestamp="1557923637"&gt;982&lt;/key&gt;&lt;/foreign-keys&gt;&lt;ref-type name="Journal Article"&gt;17&lt;/ref-type&gt;&lt;contributors&gt;&lt;authors&gt;&lt;author&gt;Glass, D. C.&lt;/author&gt;&lt;author&gt;Gray, C. N.&lt;/author&gt;&lt;author&gt;Jolley, D. J.&lt;/author&gt;&lt;author&gt;Gibbons, C.&lt;/author&gt;&lt;author&gt;Sim, M. R.&lt;/author&gt;&lt;/authors&gt;&lt;/contributors&gt;&lt;titles&gt;&lt;title&gt;Health Watch exposure estimates: Do they underestimate benzene exposure?&lt;/title&gt;&lt;secondary-title&gt;Chemico-Biological Interactions&lt;/secondary-title&gt;&lt;/titles&gt;&lt;periodical&gt;&lt;full-title&gt;Chem Biol Interact&lt;/full-title&gt;&lt;abbr-1&gt;Chemico-biological interactions&lt;/abbr-1&gt;&lt;/periodical&gt;&lt;pages&gt;23-32&lt;/pages&gt;&lt;volume&gt;153-154&lt;/volume&gt;&lt;keywords&gt;&lt;keyword&gt;Benzene&lt;/keyword&gt;&lt;keyword&gt;Leukemia&lt;/keyword&gt;&lt;keyword&gt;Exposure&lt;/keyword&gt;&lt;keyword&gt;Petroleum industry&lt;/keyword&gt;&lt;/keywords&gt;&lt;dates&gt;&lt;year&gt;2005&lt;/year&gt;&lt;pub-dates&gt;&lt;date&gt;2005/05/30/&lt;/date&gt;&lt;/pub-dates&gt;&lt;/dates&gt;&lt;isbn&gt;0009-2797&lt;/isbn&gt;&lt;urls&gt;&lt;related-urls&gt;&lt;url&gt;http://www.sciencedirect.com/science/article/pii/S0009279705000669&lt;/url&gt;&lt;/related-urls&gt;&lt;/urls&gt;&lt;electronic-resource-num&gt;https://doi.org/10.1016/j.cbi.2005.03.006&lt;/electronic-resource-num&gt;&lt;/record&gt;&lt;/Cite&gt;&lt;/EndNote&gt;</w:instrText>
        </w:r>
        <w:r w:rsidR="004C59A6">
          <w:rPr>
            <w:lang w:val="en-GB"/>
          </w:rPr>
          <w:fldChar w:fldCharType="separate"/>
        </w:r>
        <w:r w:rsidR="004C59A6">
          <w:rPr>
            <w:noProof/>
            <w:lang w:val="en-GB"/>
          </w:rPr>
          <w:t>Glass et al. (2005)</w:t>
        </w:r>
        <w:r w:rsidR="004C59A6">
          <w:rPr>
            <w:lang w:val="en-GB"/>
          </w:rPr>
          <w:fldChar w:fldCharType="end"/>
        </w:r>
      </w:hyperlink>
      <w:r w:rsidR="0007366D">
        <w:rPr>
          <w:lang w:val="en-GB"/>
        </w:rPr>
        <w:t xml:space="preserve"> </w:t>
      </w:r>
      <w:r w:rsidR="70982C13" w:rsidRPr="1B2D6AA9">
        <w:rPr>
          <w:lang w:val="en-GB"/>
        </w:rPr>
        <w:t xml:space="preserve">study was updated in a pooled analysis by </w:t>
      </w:r>
      <w:hyperlink w:anchor="_ENREF_30" w:tooltip="Rushton, 2014 #96" w:history="1">
        <w:r w:rsidR="004C59A6">
          <w:rPr>
            <w:lang w:val="en-GB"/>
          </w:rPr>
          <w:fldChar w:fldCharType="begin"/>
        </w:r>
        <w:r w:rsidR="004C59A6">
          <w:rPr>
            <w:lang w:val="en-GB"/>
          </w:rPr>
          <w:instrText xml:space="preserve"> ADDIN EN.CITE &lt;EndNote&gt;&lt;Cite AuthorYear="1"&gt;&lt;Author&gt;Rushton&lt;/Author&gt;&lt;Year&gt;2014&lt;/Year&gt;&lt;RecNum&gt;96&lt;/RecNum&gt;&lt;DisplayText&gt;Rushton et al. (2014)&lt;/DisplayText&gt;&lt;record&gt;&lt;rec-number&gt;96&lt;/rec-number&gt;&lt;foreign-keys&gt;&lt;key app="EN" db-id="0d0929f959rse9ex25rp09za5avf0ept9spf" timestamp="1456250996"&gt;96&lt;/key&gt;&lt;/foreign-keys&gt;&lt;ref-type name="Journal Article"&gt;17&lt;/ref-type&gt;&lt;contributors&gt;&lt;authors&gt;&lt;author&gt;Rushton, L.&lt;/author&gt;&lt;author&gt;Schnatter, A. R.&lt;/author&gt;&lt;author&gt;Tang, G.&lt;/author&gt;&lt;author&gt;Glass, D. C.&lt;/author&gt;&lt;/authors&gt;&lt;/contributors&gt;&lt;titles&gt;&lt;title&gt;Acute myeloid and chronic lymphoid leukaemias and exposure to low-level benzene among petroleum workers&lt;/title&gt;&lt;secondary-title&gt;British Journal of Cancer&lt;/secondary-title&gt;&lt;/titles&gt;&lt;periodical&gt;&lt;full-title&gt;British Journal of Cancer&lt;/full-title&gt;&lt;/periodical&gt;&lt;pages&gt;783-787&lt;/pages&gt;&lt;volume&gt;110&lt;/volume&gt;&lt;number&gt;3&lt;/number&gt;&lt;dates&gt;&lt;year&gt;2014&lt;/year&gt;&lt;pub-dates&gt;&lt;date&gt;Feb 4&lt;/date&gt;&lt;/pub-dates&gt;&lt;/dates&gt;&lt;isbn&gt;0007-0920&lt;/isbn&gt;&lt;accession-num&gt;WOS:000331226400028&lt;/accession-num&gt;&lt;urls&gt;&lt;related-urls&gt;&lt;url&gt;&amp;lt;Go to ISI&amp;gt;://WOS:000331226400028&lt;/url&gt;&lt;/related-urls&gt;&lt;/urls&gt;&lt;electronic-resource-num&gt;10.1038/bjc.2013.780&lt;/electronic-resource-num&gt;&lt;/record&gt;&lt;/Cite&gt;&lt;/EndNote&gt;</w:instrText>
        </w:r>
        <w:r w:rsidR="004C59A6">
          <w:rPr>
            <w:lang w:val="en-GB"/>
          </w:rPr>
          <w:fldChar w:fldCharType="separate"/>
        </w:r>
        <w:r w:rsidR="004C59A6">
          <w:rPr>
            <w:noProof/>
            <w:lang w:val="en-GB"/>
          </w:rPr>
          <w:t>Rushton et al. (2014)</w:t>
        </w:r>
        <w:r w:rsidR="004C59A6">
          <w:rPr>
            <w:lang w:val="en-GB"/>
          </w:rPr>
          <w:fldChar w:fldCharType="end"/>
        </w:r>
      </w:hyperlink>
      <w:r w:rsidR="420EC5EC" w:rsidRPr="1B2D6AA9">
        <w:rPr>
          <w:lang w:val="en-GB"/>
        </w:rPr>
        <w:t xml:space="preserve">; </w:t>
      </w:r>
      <w:r w:rsidR="0007366D">
        <w:rPr>
          <w:lang w:val="en-GB"/>
        </w:rPr>
        <w:t>the</w:t>
      </w:r>
      <w:r w:rsidR="397D069C" w:rsidRPr="1B2D6AA9">
        <w:rPr>
          <w:lang w:val="en-GB"/>
        </w:rPr>
        <w:t xml:space="preserve"> Dow study by </w:t>
      </w:r>
      <w:hyperlink w:anchor="_ENREF_9" w:tooltip="Collins, 2015 #682" w:history="1">
        <w:r w:rsidR="004C59A6">
          <w:rPr>
            <w:lang w:val="en-GB"/>
          </w:rPr>
          <w:fldChar w:fldCharType="begin"/>
        </w:r>
        <w:r w:rsidR="004C59A6">
          <w:rPr>
            <w:lang w:val="en-GB"/>
          </w:rPr>
          <w:instrText xml:space="preserve"> ADDIN EN.CITE &lt;EndNote&gt;&lt;Cite AuthorYear="1"&gt;&lt;Author&gt;Collins&lt;/Author&gt;&lt;Year&gt;2015&lt;/Year&gt;&lt;RecNum&gt;682&lt;/RecNum&gt;&lt;DisplayText&gt;Collins et al. (2015)&lt;/DisplayText&gt;&lt;record&gt;&lt;rec-number&gt;682&lt;/rec-number&gt;&lt;foreign-keys&gt;&lt;key app="EN" db-id="0d0929f959rse9ex25rp09za5avf0ept9spf" timestamp="1501533799"&gt;682&lt;/key&gt;&lt;/foreign-keys&gt;&lt;ref-type name="Journal Article"&gt;17&lt;/ref-type&gt;&lt;contributors&gt;&lt;authors&gt;&lt;author&gt;Collins, James J&lt;/author&gt;&lt;author&gt;Anteau, Steven E&lt;/author&gt;&lt;author&gt;Swaen, Gerard MH&lt;/author&gt;&lt;author&gt;Bodner, Kenneth M&lt;/author&gt;&lt;author&gt;Bodnar, Catherine M&lt;/author&gt;&lt;/authors&gt;&lt;/contributors&gt;&lt;titles&gt;&lt;title&gt;Lymphatic and hematopoietic cancers among benzene-exposed workers&lt;/title&gt;&lt;secondary-title&gt;Journal of occupational and environmental medicine&lt;/secondary-title&gt;&lt;/titles&gt;&lt;periodical&gt;&lt;full-title&gt;Journal of Occupational and Environmental Medicine&lt;/full-title&gt;&lt;/periodical&gt;&lt;pages&gt;159-163&lt;/pages&gt;&lt;volume&gt;57&lt;/volume&gt;&lt;number&gt;2&lt;/number&gt;&lt;dates&gt;&lt;year&gt;2015&lt;/year&gt;&lt;/dates&gt;&lt;isbn&gt;1076-2752&lt;/isbn&gt;&lt;urls&gt;&lt;/urls&gt;&lt;/record&gt;&lt;/Cite&gt;&lt;/EndNote&gt;</w:instrText>
        </w:r>
        <w:r w:rsidR="004C59A6">
          <w:rPr>
            <w:lang w:val="en-GB"/>
          </w:rPr>
          <w:fldChar w:fldCharType="separate"/>
        </w:r>
        <w:r w:rsidR="004C59A6">
          <w:rPr>
            <w:noProof/>
            <w:lang w:val="en-GB"/>
          </w:rPr>
          <w:t>Collins et al. (2015)</w:t>
        </w:r>
        <w:r w:rsidR="004C59A6">
          <w:rPr>
            <w:lang w:val="en-GB"/>
          </w:rPr>
          <w:fldChar w:fldCharType="end"/>
        </w:r>
      </w:hyperlink>
      <w:r w:rsidR="397D069C" w:rsidRPr="1B2D6AA9">
        <w:rPr>
          <w:lang w:val="en-GB"/>
        </w:rPr>
        <w:t xml:space="preserve">; and the largest </w:t>
      </w:r>
      <w:r w:rsidR="2C01140A" w:rsidRPr="1B2D6AA9">
        <w:rPr>
          <w:lang w:val="en-GB"/>
        </w:rPr>
        <w:t xml:space="preserve">component </w:t>
      </w:r>
      <w:r w:rsidR="397D069C" w:rsidRPr="1B2D6AA9">
        <w:rPr>
          <w:lang w:val="en-GB"/>
        </w:rPr>
        <w:t xml:space="preserve">population in the </w:t>
      </w:r>
      <w:hyperlink w:anchor="_ENREF_41" w:tooltip="Wong, 1987 #1020" w:history="1">
        <w:r w:rsidR="004C59A6">
          <w:rPr>
            <w:lang w:val="en-GB"/>
          </w:rPr>
          <w:fldChar w:fldCharType="begin"/>
        </w:r>
        <w:r w:rsidR="004C59A6">
          <w:rPr>
            <w:lang w:val="en-GB"/>
          </w:rPr>
          <w:instrText xml:space="preserve"> ADDIN EN.CITE &lt;EndNote&gt;&lt;Cite AuthorYear="1"&gt;&lt;Author&gt;Wong&lt;/Author&gt;&lt;Year&gt;1987&lt;/Year&gt;&lt;RecNum&gt;1020&lt;/RecNum&gt;&lt;DisplayText&gt;Wong (1987a)&lt;/DisplayText&gt;&lt;record&gt;&lt;rec-number&gt;1020&lt;/rec-number&gt;&lt;foreign-keys&gt;&lt;key app="EN" db-id="0d0929f959rse9ex25rp09za5avf0ept9spf" timestamp="1564161344"&gt;1020&lt;/key&gt;&lt;/foreign-keys&gt;&lt;ref-type name="Journal Article"&gt;17&lt;/ref-type&gt;&lt;contributors&gt;&lt;authors&gt;&lt;author&gt;Wong, O&lt;/author&gt;&lt;/authors&gt;&lt;/contributors&gt;&lt;titles&gt;&lt;title&gt;An industry wide mortality study of chemical workers occupationally exposed to benzene. I. General results&lt;/title&gt;&lt;secondary-title&gt;British Journal of Industrial Medicine&lt;/secondary-title&gt;&lt;/titles&gt;&lt;periodical&gt;&lt;full-title&gt;British Journal of Industrial Medicine&lt;/full-title&gt;&lt;/periodical&gt;&lt;pages&gt;365-381&lt;/pages&gt;&lt;volume&gt;44&lt;/volume&gt;&lt;number&gt;6&lt;/number&gt;&lt;dates&gt;&lt;year&gt;1987&lt;/year&gt;&lt;/dates&gt;&lt;urls&gt;&lt;related-urls&gt;&lt;url&gt;https://oem.bmj.com/content/oemed/44/6/365.full.pdf&lt;/url&gt;&lt;/related-urls&gt;&lt;/urls&gt;&lt;electronic-resource-num&gt;10.1136/oem.44.6.365&lt;/electronic-resource-num&gt;&lt;/record&gt;&lt;/Cite&gt;&lt;/EndNote&gt;</w:instrText>
        </w:r>
        <w:r w:rsidR="004C59A6">
          <w:rPr>
            <w:lang w:val="en-GB"/>
          </w:rPr>
          <w:fldChar w:fldCharType="separate"/>
        </w:r>
        <w:r w:rsidR="004C59A6">
          <w:rPr>
            <w:noProof/>
            <w:lang w:val="en-GB"/>
          </w:rPr>
          <w:t>Wong (1987a)</w:t>
        </w:r>
        <w:r w:rsidR="004C59A6">
          <w:rPr>
            <w:lang w:val="en-GB"/>
          </w:rPr>
          <w:fldChar w:fldCharType="end"/>
        </w:r>
      </w:hyperlink>
      <w:r w:rsidR="397D069C" w:rsidRPr="1B2D6AA9">
        <w:rPr>
          <w:lang w:val="en-GB"/>
        </w:rPr>
        <w:t xml:space="preserve"> study by </w:t>
      </w:r>
      <w:hyperlink w:anchor="_ENREF_8" w:tooltip="Collins, 2003 #680" w:history="1">
        <w:r w:rsidR="004C59A6">
          <w:rPr>
            <w:lang w:val="en-GB"/>
          </w:rPr>
          <w:fldChar w:fldCharType="begin"/>
        </w:r>
        <w:r w:rsidR="004C59A6">
          <w:rPr>
            <w:lang w:val="en-GB"/>
          </w:rPr>
          <w:instrText xml:space="preserve"> ADDIN EN.CITE &lt;EndNote&gt;&lt;Cite AuthorYear="1"&gt;&lt;Author&gt;Collins&lt;/Author&gt;&lt;Year&gt;2003&lt;/Year&gt;&lt;RecNum&gt;680&lt;/RecNum&gt;&lt;DisplayText&gt;Collins et al. (2003)&lt;/DisplayText&gt;&lt;record&gt;&lt;rec-number&gt;680&lt;/rec-number&gt;&lt;foreign-keys&gt;&lt;key app="EN" db-id="0d0929f959rse9ex25rp09za5avf0ept9spf" timestamp="1501532867"&gt;680&lt;/key&gt;&lt;/foreign-keys&gt;&lt;ref-type name="Journal Article"&gt;17&lt;/ref-type&gt;&lt;contributors&gt;&lt;authors&gt;&lt;author&gt;Collins, JJ&lt;/author&gt;&lt;author&gt;Ireland, B&lt;/author&gt;&lt;author&gt;Buckley, CF&lt;/author&gt;&lt;author&gt;Shepperly, D&lt;/author&gt;&lt;/authors&gt;&lt;/contributors&gt;&lt;titles&gt;&lt;title&gt;Lymphohaematopoeitic cancer mortality among workers with benzene exposure&lt;/title&gt;&lt;secondary-title&gt;Occupational and environmental medicine&lt;/secondary-title&gt;&lt;/titles&gt;&lt;periodical&gt;&lt;full-title&gt;Occupational and Environmental Medicine&lt;/full-title&gt;&lt;/periodical&gt;&lt;pages&gt;676-679&lt;/pages&gt;&lt;volume&gt;60&lt;/volume&gt;&lt;number&gt;9&lt;/number&gt;&lt;dates&gt;&lt;year&gt;2003&lt;/year&gt;&lt;/dates&gt;&lt;isbn&gt;1351-0711&lt;/isbn&gt;&lt;urls&gt;&lt;/urls&gt;&lt;/record&gt;&lt;/Cite&gt;&lt;/EndNote&gt;</w:instrText>
        </w:r>
        <w:r w:rsidR="004C59A6">
          <w:rPr>
            <w:lang w:val="en-GB"/>
          </w:rPr>
          <w:fldChar w:fldCharType="separate"/>
        </w:r>
        <w:r w:rsidR="004C59A6">
          <w:rPr>
            <w:noProof/>
            <w:lang w:val="en-GB"/>
          </w:rPr>
          <w:t>Collins et al. (2003)</w:t>
        </w:r>
        <w:r w:rsidR="004C59A6">
          <w:rPr>
            <w:lang w:val="en-GB"/>
          </w:rPr>
          <w:fldChar w:fldCharType="end"/>
        </w:r>
      </w:hyperlink>
      <w:r w:rsidR="397D069C" w:rsidRPr="1B2D6AA9">
        <w:rPr>
          <w:lang w:val="en-GB"/>
        </w:rPr>
        <w:t xml:space="preserve">. The </w:t>
      </w:r>
      <w:hyperlink w:anchor="_ENREF_35" w:tooltip="Seniori Costantini, 2003 #683" w:history="1">
        <w:r w:rsidR="004C59A6">
          <w:rPr>
            <w:lang w:val="en-GB"/>
          </w:rPr>
          <w:fldChar w:fldCharType="begin"/>
        </w:r>
        <w:r w:rsidR="004C59A6">
          <w:rPr>
            <w:lang w:val="en-GB"/>
          </w:rPr>
          <w:instrText xml:space="preserve"> ADDIN EN.CITE &lt;EndNote&gt;&lt;Cite AuthorYear="1"&gt;&lt;Author&gt;Seniori Costantini&lt;/Author&gt;&lt;Year&gt;2003&lt;/Year&gt;&lt;RecNum&gt;683&lt;/RecNum&gt;&lt;DisplayText&gt;Seniori Costantini et al. (2003)&lt;/DisplayText&gt;&lt;record&gt;&lt;rec-number&gt;683&lt;/rec-number&gt;&lt;foreign-keys&gt;&lt;key app="EN" db-id="0d0929f959rse9ex25rp09za5avf0ept9spf" timestamp="1501534247"&gt;683&lt;/key&gt;&lt;/foreign-keys&gt;&lt;ref-type name="Journal Article"&gt;17&lt;/ref-type&gt;&lt;contributors&gt;&lt;authors&gt;&lt;author&gt;Seniori Costantini, Adele&lt;/author&gt;&lt;author&gt;Quinn, Margaret&lt;/author&gt;&lt;author&gt;Consonni, Dario&lt;/author&gt;&lt;author&gt;Zappa, Marco&lt;/author&gt;&lt;/authors&gt;&lt;/contributors&gt;&lt;titles&gt;&lt;title&gt;Exposure to benzene and risk of leukemia among shoe factory workers&lt;/title&gt;&lt;secondary-title&gt;Scandinavian journal of work, environment &amp;amp; health&lt;/secondary-title&gt;&lt;/titles&gt;&lt;periodical&gt;&lt;full-title&gt;Scandinavian journal of work, environment &amp;amp; health&lt;/full-title&gt;&lt;/periodical&gt;&lt;pages&gt;51-59&lt;/pages&gt;&lt;dates&gt;&lt;year&gt;2003&lt;/year&gt;&lt;/dates&gt;&lt;isbn&gt;0355-3140&lt;/isbn&gt;&lt;urls&gt;&lt;/urls&gt;&lt;/record&gt;&lt;/Cite&gt;&lt;/EndNote&gt;</w:instrText>
        </w:r>
        <w:r w:rsidR="004C59A6">
          <w:rPr>
            <w:lang w:val="en-GB"/>
          </w:rPr>
          <w:fldChar w:fldCharType="separate"/>
        </w:r>
        <w:r w:rsidR="004C59A6">
          <w:rPr>
            <w:noProof/>
            <w:lang w:val="en-GB"/>
          </w:rPr>
          <w:t>Seniori Costantini et al. (2003)</w:t>
        </w:r>
        <w:r w:rsidR="004C59A6">
          <w:rPr>
            <w:lang w:val="en-GB"/>
          </w:rPr>
          <w:fldChar w:fldCharType="end"/>
        </w:r>
      </w:hyperlink>
      <w:r w:rsidR="792129AD" w:rsidRPr="1B2D6AA9">
        <w:rPr>
          <w:lang w:val="en-GB"/>
        </w:rPr>
        <w:t xml:space="preserve"> </w:t>
      </w:r>
      <w:r w:rsidR="325EA143" w:rsidRPr="1B2D6AA9">
        <w:rPr>
          <w:lang w:val="en-GB"/>
        </w:rPr>
        <w:t>s</w:t>
      </w:r>
      <w:r w:rsidR="792129AD" w:rsidRPr="1B2D6AA9">
        <w:rPr>
          <w:lang w:val="en-GB"/>
        </w:rPr>
        <w:t xml:space="preserve">tudy was not used due to the lack of an analysis of AML.  The </w:t>
      </w:r>
      <w:hyperlink w:anchor="_ENREF_37" w:tooltip="Stenehjem, 2015 #157" w:history="1">
        <w:r w:rsidR="004C59A6">
          <w:rPr>
            <w:lang w:val="en-GB"/>
          </w:rPr>
          <w:fldChar w:fldCharType="begin"/>
        </w:r>
        <w:r w:rsidR="004C59A6">
          <w:rPr>
            <w:lang w:val="en-GB"/>
          </w:rPr>
          <w:instrText xml:space="preserve"> ADDIN EN.CITE &lt;EndNote&gt;&lt;Cite AuthorYear="1"&gt;&lt;Author&gt;Stenehjem&lt;/Author&gt;&lt;Year&gt;2015&lt;/Year&gt;&lt;RecNum&gt;157&lt;/RecNum&gt;&lt;DisplayText&gt;Stenehjem et al. (2015)&lt;/DisplayText&gt;&lt;record&gt;&lt;rec-number&gt;157&lt;/rec-number&gt;&lt;foreign-keys&gt;&lt;key app="EN" db-id="0d0929f959rse9ex25rp09za5avf0ept9spf" timestamp="1476386383"&gt;157&lt;/key&gt;&lt;/foreign-keys&gt;&lt;ref-type name="Journal Article"&gt;17&lt;/ref-type&gt;&lt;contributors&gt;&lt;authors&gt;&lt;author&gt;Stenehjem, J. S.&lt;/author&gt;&lt;author&gt;Kjarheim, K.&lt;/author&gt;&lt;author&gt;Bratveit, M.&lt;/author&gt;&lt;author&gt;Samuelsen, S. O.&lt;/author&gt;&lt;author&gt;Barone-Adesi, F.&lt;/author&gt;&lt;author&gt;Rothman, N.&lt;/author&gt;&lt;author&gt;Lan, Q.&lt;/author&gt;&lt;author&gt;Grimsrud, T. K.&lt;/author&gt;&lt;/authors&gt;&lt;/contributors&gt;&lt;titles&gt;&lt;title&gt;Benzene exposure and risk of lymphohaematopoietic cancers in 25,000 offshore oil industry workers&lt;/title&gt;&lt;secondary-title&gt;Br J Cancer&lt;/secondary-title&gt;&lt;/titles&gt;&lt;periodical&gt;&lt;full-title&gt;Br J Cancer&lt;/full-title&gt;&lt;/periodical&gt;&lt;pages&gt;1641-1641&lt;/pages&gt;&lt;volume&gt;113&lt;/volume&gt;&lt;number&gt;11&lt;/number&gt;&lt;dates&gt;&lt;year&gt;2015&lt;/year&gt;&lt;pub-dates&gt;&lt;date&gt;12/01/print&lt;/date&gt;&lt;/pub-dates&gt;&lt;/dates&gt;&lt;publisher&gt;Cancer Research UK&lt;/publisher&gt;&lt;isbn&gt;0007-0920&lt;/isbn&gt;&lt;work-type&gt;Corrigendum&lt;/work-type&gt;&lt;urls&gt;&lt;related-urls&gt;&lt;url&gt;http://dx.doi.org/10.1038/bjc.2015.390&lt;/url&gt;&lt;/related-urls&gt;&lt;/urls&gt;&lt;electronic-resource-num&gt;10.1038/bjc.2015.390&lt;/electronic-resource-num&gt;&lt;research-notes&gt;Be mindful to note that when people point to the original publication they need to be careful not to misinterpret what was originally written in light of the correction.&lt;/research-notes&gt;&lt;/record&gt;&lt;/Cite&gt;&lt;/EndNote&gt;</w:instrText>
        </w:r>
        <w:r w:rsidR="004C59A6">
          <w:rPr>
            <w:lang w:val="en-GB"/>
          </w:rPr>
          <w:fldChar w:fldCharType="separate"/>
        </w:r>
        <w:r w:rsidR="004C59A6">
          <w:rPr>
            <w:noProof/>
            <w:lang w:val="en-GB"/>
          </w:rPr>
          <w:t>Stenehjem et al. (2015)</w:t>
        </w:r>
        <w:r w:rsidR="004C59A6">
          <w:rPr>
            <w:lang w:val="en-GB"/>
          </w:rPr>
          <w:fldChar w:fldCharType="end"/>
        </w:r>
      </w:hyperlink>
      <w:r w:rsidR="0007366D">
        <w:rPr>
          <w:lang w:val="en-GB"/>
        </w:rPr>
        <w:t xml:space="preserve"> </w:t>
      </w:r>
      <w:r w:rsidR="792129AD" w:rsidRPr="1B2D6AA9">
        <w:rPr>
          <w:lang w:val="en-GB"/>
        </w:rPr>
        <w:t>study was added due to the prese</w:t>
      </w:r>
      <w:r w:rsidR="7E1B58E5" w:rsidRPr="1B2D6AA9">
        <w:rPr>
          <w:lang w:val="en-GB"/>
        </w:rPr>
        <w:t xml:space="preserve">nce of an analysis on AML. </w:t>
      </w:r>
      <w:r w:rsidR="70A811FD" w:rsidRPr="1B2D6AA9">
        <w:rPr>
          <w:lang w:val="en-GB"/>
        </w:rPr>
        <w:t>Th</w:t>
      </w:r>
      <w:r w:rsidR="07954FF2" w:rsidRPr="1B2D6AA9">
        <w:rPr>
          <w:lang w:val="en-GB"/>
        </w:rPr>
        <w:t xml:space="preserve">us the updated analysis is also based on six studies. </w:t>
      </w:r>
      <w:r w:rsidR="00B22F85" w:rsidRPr="00CD48FA">
        <w:rPr>
          <w:lang w:val="en-GB"/>
        </w:rPr>
        <w:t xml:space="preserve">An average </w:t>
      </w:r>
      <w:r w:rsidRPr="00CD48FA">
        <w:rPr>
          <w:lang w:val="en-GB"/>
        </w:rPr>
        <w:t xml:space="preserve">cumulative exposure </w:t>
      </w:r>
      <w:r w:rsidR="00C2706D" w:rsidRPr="00CD48FA">
        <w:rPr>
          <w:lang w:val="en-GB"/>
        </w:rPr>
        <w:t xml:space="preserve">(ppm-years) </w:t>
      </w:r>
      <w:r w:rsidRPr="00CD48FA">
        <w:rPr>
          <w:lang w:val="en-GB"/>
        </w:rPr>
        <w:t xml:space="preserve">associated with a </w:t>
      </w:r>
      <w:r w:rsidR="003A2BEB">
        <w:rPr>
          <w:lang w:val="en-GB"/>
        </w:rPr>
        <w:t>1%</w:t>
      </w:r>
      <w:r w:rsidRPr="00CD48FA">
        <w:rPr>
          <w:lang w:val="en-GB"/>
        </w:rPr>
        <w:t xml:space="preserve"> increased risk of AML mortality was </w:t>
      </w:r>
      <w:r w:rsidR="00B22F85" w:rsidRPr="00CD48FA">
        <w:rPr>
          <w:lang w:val="en-GB"/>
        </w:rPr>
        <w:t xml:space="preserve">calculated </w:t>
      </w:r>
      <w:r w:rsidR="299457D9" w:rsidRPr="00CD48FA">
        <w:rPr>
          <w:lang w:val="en-GB"/>
        </w:rPr>
        <w:t xml:space="preserve">in the same manner in which AGS calculated 10% increased risk </w:t>
      </w:r>
      <w:r w:rsidR="00B22F85" w:rsidRPr="00CD48FA">
        <w:rPr>
          <w:lang w:val="en-GB"/>
        </w:rPr>
        <w:t xml:space="preserve">from </w:t>
      </w:r>
      <w:r w:rsidR="00B50C99">
        <w:rPr>
          <w:lang w:val="en-GB"/>
        </w:rPr>
        <w:t xml:space="preserve">six </w:t>
      </w:r>
      <w:r w:rsidR="00B22F85" w:rsidRPr="00CD48FA">
        <w:rPr>
          <w:lang w:val="en-GB"/>
        </w:rPr>
        <w:t>studies listed in</w:t>
      </w:r>
      <w:r w:rsidR="00B50C99">
        <w:rPr>
          <w:lang w:val="en-GB"/>
        </w:rPr>
        <w:t xml:space="preserve"> </w:t>
      </w:r>
      <w:r w:rsidR="00B50C99">
        <w:rPr>
          <w:lang w:val="en-GB"/>
        </w:rPr>
        <w:fldChar w:fldCharType="begin"/>
      </w:r>
      <w:r w:rsidR="00B50C99">
        <w:rPr>
          <w:lang w:val="en-GB"/>
        </w:rPr>
        <w:instrText xml:space="preserve"> REF _Ref38464047 \h </w:instrText>
      </w:r>
      <w:r w:rsidR="00B50C99">
        <w:rPr>
          <w:lang w:val="en-GB"/>
        </w:rPr>
      </w:r>
      <w:r w:rsidR="00B50C99">
        <w:rPr>
          <w:lang w:val="en-GB"/>
        </w:rPr>
        <w:fldChar w:fldCharType="separate"/>
      </w:r>
      <w:r w:rsidR="00832F8A">
        <w:t xml:space="preserve">Table </w:t>
      </w:r>
      <w:r w:rsidR="00832F8A">
        <w:rPr>
          <w:noProof/>
        </w:rPr>
        <w:t>1</w:t>
      </w:r>
      <w:r w:rsidR="00B50C99">
        <w:rPr>
          <w:lang w:val="en-GB"/>
        </w:rPr>
        <w:fldChar w:fldCharType="end"/>
      </w:r>
      <w:r w:rsidR="00B22F85" w:rsidRPr="00CD48FA">
        <w:rPr>
          <w:lang w:val="en-GB"/>
        </w:rPr>
        <w:t>.</w:t>
      </w:r>
      <w:r w:rsidR="00C2706D" w:rsidRPr="00CD48FA">
        <w:rPr>
          <w:lang w:val="en-GB"/>
        </w:rPr>
        <w:t xml:space="preserve"> </w:t>
      </w:r>
      <w:r w:rsidR="00DD0F58" w:rsidRPr="00CD48FA">
        <w:rPr>
          <w:lang w:val="en-GB"/>
        </w:rPr>
        <w:t xml:space="preserve">An assumption of </w:t>
      </w:r>
      <w:r w:rsidR="00B50C99">
        <w:rPr>
          <w:lang w:val="en-GB"/>
        </w:rPr>
        <w:t xml:space="preserve">20 </w:t>
      </w:r>
      <w:r w:rsidR="00DD0F58" w:rsidRPr="00CD48FA">
        <w:rPr>
          <w:lang w:val="en-GB"/>
        </w:rPr>
        <w:t>year</w:t>
      </w:r>
      <w:r w:rsidR="00B50C99">
        <w:rPr>
          <w:lang w:val="en-GB"/>
        </w:rPr>
        <w:t xml:space="preserve"> latency</w:t>
      </w:r>
      <w:r w:rsidR="00DD0F58" w:rsidRPr="00CD48FA">
        <w:rPr>
          <w:lang w:val="en-GB"/>
        </w:rPr>
        <w:t xml:space="preserve"> </w:t>
      </w:r>
      <w:r w:rsidR="004653BE">
        <w:rPr>
          <w:lang w:val="en-GB"/>
        </w:rPr>
        <w:fldChar w:fldCharType="begin"/>
      </w:r>
      <w:r w:rsidR="004653BE">
        <w:rPr>
          <w:lang w:val="en-GB"/>
        </w:rPr>
        <w:instrText xml:space="preserve"> ADDIN EN.CITE &lt;EndNote&gt;&lt;Cite&gt;&lt;Author&gt;Richardson&lt;/Author&gt;&lt;Year&gt;2008&lt;/Year&gt;&lt;RecNum&gt;689&lt;/RecNum&gt;&lt;DisplayText&gt;(Richardson, 2008)&lt;/DisplayText&gt;&lt;record&gt;&lt;rec-number&gt;689&lt;/rec-number&gt;&lt;foreign-keys&gt;&lt;key app="EN" db-id="0d0929f959rse9ex25rp09za5avf0ept9spf" timestamp="1501688620"&gt;689&lt;/key&gt;&lt;/foreign-keys&gt;&lt;ref-type name="Journal Article"&gt;17&lt;/ref-type&gt;&lt;contributors&gt;&lt;authors&gt;&lt;author&gt;Richardson, David B.&lt;/author&gt;&lt;/authors&gt;&lt;/contributors&gt;&lt;titles&gt;&lt;title&gt;Temporal Variation in the Association between Benzene and Leukemia Mortality&lt;/title&gt;&lt;secondary-title&gt;Environmental Health Perspectives&lt;/secondary-title&gt;&lt;/titles&gt;&lt;periodical&gt;&lt;full-title&gt;Environmental Health Perspectives&lt;/full-title&gt;&lt;/periodical&gt;&lt;pages&gt;370-374&lt;/pages&gt;&lt;volume&gt;116&lt;/volume&gt;&lt;number&gt;3&lt;/number&gt;&lt;dates&gt;&lt;year&gt;2008&lt;/year&gt;&lt;pub-dates&gt;&lt;date&gt;01/02&amp;#xD;09/04/received&amp;#xD;01/02/accepted&lt;/date&gt;&lt;/pub-dates&gt;&lt;/dates&gt;&lt;publisher&gt;National Institute of Environmental Health Sciences&lt;/publisher&gt;&lt;isbn&gt;0091-6765&amp;#xD;1552-9924&lt;/isbn&gt;&lt;accession-num&gt;PMC2265049&lt;/accession-num&gt;&lt;urls&gt;&lt;related-urls&gt;&lt;url&gt;http://www.ncbi.nlm.nih.gov/pmc/articles/PMC2265049/&lt;/url&gt;&lt;/related-urls&gt;&lt;/urls&gt;&lt;electronic-resource-num&gt;10.1289/ehp.10841&lt;/electronic-resource-num&gt;&lt;remote-database-name&gt;PMC&lt;/remote-database-name&gt;&lt;/record&gt;&lt;/Cite&gt;&lt;/EndNote&gt;</w:instrText>
      </w:r>
      <w:r w:rsidR="004653BE">
        <w:rPr>
          <w:lang w:val="en-GB"/>
        </w:rPr>
        <w:fldChar w:fldCharType="separate"/>
      </w:r>
      <w:r w:rsidR="004653BE">
        <w:rPr>
          <w:noProof/>
          <w:lang w:val="en-GB"/>
        </w:rPr>
        <w:t>(</w:t>
      </w:r>
      <w:hyperlink w:anchor="_ENREF_26" w:tooltip="Richardson, 2008 #689" w:history="1">
        <w:r w:rsidR="004C59A6">
          <w:rPr>
            <w:noProof/>
            <w:lang w:val="en-GB"/>
          </w:rPr>
          <w:t>Richardson, 2008</w:t>
        </w:r>
      </w:hyperlink>
      <w:r w:rsidR="004653BE">
        <w:rPr>
          <w:noProof/>
          <w:lang w:val="en-GB"/>
        </w:rPr>
        <w:t>)</w:t>
      </w:r>
      <w:r w:rsidR="004653BE">
        <w:rPr>
          <w:lang w:val="en-GB"/>
        </w:rPr>
        <w:fldChar w:fldCharType="end"/>
      </w:r>
      <w:r w:rsidR="00B50C99" w:rsidRPr="00B50C99">
        <w:rPr>
          <w:lang w:val="en-GB"/>
        </w:rPr>
        <w:t xml:space="preserve"> </w:t>
      </w:r>
      <w:r w:rsidR="00164730" w:rsidRPr="1B2D6AA9">
        <w:rPr>
          <w:lang w:val="en-GB"/>
        </w:rPr>
        <w:t xml:space="preserve">was </w:t>
      </w:r>
      <w:r w:rsidR="00DD0F58" w:rsidRPr="00CD48FA">
        <w:rPr>
          <w:lang w:val="en-GB"/>
        </w:rPr>
        <w:t>used to divide the a</w:t>
      </w:r>
      <w:r w:rsidR="00C2706D" w:rsidRPr="00CD48FA">
        <w:rPr>
          <w:lang w:val="en-GB"/>
        </w:rPr>
        <w:t>verage cumulative exposure</w:t>
      </w:r>
      <w:r w:rsidR="00C2706D" w:rsidRPr="1B2D6AA9">
        <w:rPr>
          <w:lang w:val="en-GB"/>
        </w:rPr>
        <w:t xml:space="preserve"> </w:t>
      </w:r>
      <w:r w:rsidR="00C2706D" w:rsidRPr="00CD48FA">
        <w:rPr>
          <w:lang w:val="en-GB"/>
        </w:rPr>
        <w:t>to calculate an average yearly exposure (ppm</w:t>
      </w:r>
      <w:r w:rsidR="00C2706D" w:rsidRPr="1B2D6AA9">
        <w:rPr>
          <w:lang w:val="en-GB"/>
        </w:rPr>
        <w:t>)</w:t>
      </w:r>
      <w:r w:rsidR="00164730" w:rsidRPr="1B2D6AA9">
        <w:rPr>
          <w:lang w:val="en-GB"/>
        </w:rPr>
        <w:t>, which</w:t>
      </w:r>
      <w:r w:rsidR="00060087" w:rsidRPr="1B2D6AA9">
        <w:rPr>
          <w:lang w:val="en-GB"/>
        </w:rPr>
        <w:t xml:space="preserve"> </w:t>
      </w:r>
      <w:r w:rsidR="00164730" w:rsidRPr="1B2D6AA9">
        <w:rPr>
          <w:lang w:val="en-GB"/>
        </w:rPr>
        <w:t>provided</w:t>
      </w:r>
      <w:r w:rsidR="00C2706D" w:rsidRPr="00CD48FA">
        <w:rPr>
          <w:lang w:val="en-GB"/>
        </w:rPr>
        <w:t xml:space="preserve"> a</w:t>
      </w:r>
      <w:r w:rsidR="00DD0F58" w:rsidRPr="00CD48FA">
        <w:rPr>
          <w:lang w:val="en-GB"/>
        </w:rPr>
        <w:t>n</w:t>
      </w:r>
      <w:r w:rsidR="00C2706D" w:rsidRPr="00CD48FA">
        <w:rPr>
          <w:lang w:val="en-GB"/>
        </w:rPr>
        <w:t xml:space="preserve"> </w:t>
      </w:r>
      <w:r w:rsidR="00DD0F58" w:rsidRPr="00CD48FA">
        <w:rPr>
          <w:lang w:val="en-GB"/>
        </w:rPr>
        <w:t xml:space="preserve">upper anchor point at the </w:t>
      </w:r>
      <w:r w:rsidR="003A2BEB">
        <w:rPr>
          <w:lang w:val="en-GB"/>
        </w:rPr>
        <w:t xml:space="preserve">ED01 </w:t>
      </w:r>
      <w:r w:rsidR="00DD0F58" w:rsidRPr="00CD48FA">
        <w:rPr>
          <w:lang w:val="en-GB"/>
        </w:rPr>
        <w:t>for the risk model</w:t>
      </w:r>
      <w:r w:rsidR="00C2706D" w:rsidRPr="00CD48FA">
        <w:rPr>
          <w:lang w:val="en-GB"/>
        </w:rPr>
        <w:t>.</w:t>
      </w:r>
    </w:p>
    <w:p w14:paraId="7974A6DF" w14:textId="77777777" w:rsidR="008B6F21" w:rsidRPr="00CD48FA" w:rsidRDefault="008B6F21" w:rsidP="008B6F21">
      <w:pPr>
        <w:pStyle w:val="Heading2"/>
        <w:rPr>
          <w:lang w:val="en-GB"/>
        </w:rPr>
      </w:pPr>
      <w:r w:rsidRPr="4F9A8300">
        <w:rPr>
          <w:lang w:val="en-GB"/>
        </w:rPr>
        <w:t>SMS Model</w:t>
      </w:r>
      <w:commentRangeStart w:id="9"/>
      <w:commentRangeEnd w:id="9"/>
    </w:p>
    <w:p w14:paraId="0B32B03A" w14:textId="5B3D2A56" w:rsidR="008B6F21" w:rsidRPr="00CD48FA" w:rsidRDefault="008B6F21" w:rsidP="008B6F21">
      <w:pPr>
        <w:rPr>
          <w:lang w:val="en-GB"/>
        </w:rPr>
      </w:pPr>
      <w:r w:rsidRPr="4F9A8300">
        <w:rPr>
          <w:lang w:val="en-GB"/>
        </w:rPr>
        <w:t>In the SMS model</w:t>
      </w:r>
      <w:r w:rsidR="00060087">
        <w:rPr>
          <w:lang w:val="en-GB"/>
        </w:rPr>
        <w:t xml:space="preserve"> (</w:t>
      </w:r>
      <w:r w:rsidR="00060087">
        <w:rPr>
          <w:lang w:val="en-GB"/>
        </w:rPr>
        <w:fldChar w:fldCharType="begin"/>
      </w:r>
      <w:r w:rsidR="00060087">
        <w:rPr>
          <w:lang w:val="en-GB"/>
        </w:rPr>
        <w:instrText xml:space="preserve"> REF _Ref42264100 \h </w:instrText>
      </w:r>
      <w:r w:rsidR="00060087">
        <w:rPr>
          <w:lang w:val="en-GB"/>
        </w:rPr>
      </w:r>
      <w:r w:rsidR="00060087">
        <w:rPr>
          <w:lang w:val="en-GB"/>
        </w:rPr>
        <w:fldChar w:fldCharType="separate"/>
      </w:r>
      <w:r w:rsidR="00060087">
        <w:t xml:space="preserve">Equation </w:t>
      </w:r>
      <w:r w:rsidR="00060087">
        <w:rPr>
          <w:noProof/>
        </w:rPr>
        <w:t>1</w:t>
      </w:r>
      <w:r w:rsidR="00060087">
        <w:rPr>
          <w:lang w:val="en-GB"/>
        </w:rPr>
        <w:fldChar w:fldCharType="end"/>
      </w:r>
      <w:r w:rsidR="00060087">
        <w:rPr>
          <w:lang w:val="en-GB"/>
        </w:rPr>
        <w:t>)</w:t>
      </w:r>
      <w:r w:rsidRPr="4F9A8300">
        <w:rPr>
          <w:lang w:val="en-GB"/>
        </w:rPr>
        <w:t xml:space="preserve">, risk was assumed to decrease at concentrations less than the LOAEC, but with fixed adjustments to the slope for the discrete intervals between the LOAEC, NOAEC, and OEL. </w:t>
      </w:r>
      <w:r w:rsidR="00362552">
        <w:rPr>
          <w:lang w:val="en-GB"/>
        </w:rPr>
        <w:t>The LOAEC (2 ppm, 6.38 mg/m</w:t>
      </w:r>
      <w:r w:rsidR="00362552">
        <w:rPr>
          <w:vertAlign w:val="superscript"/>
          <w:lang w:val="en-GB"/>
        </w:rPr>
        <w:t>3</w:t>
      </w:r>
      <w:r w:rsidR="00362552">
        <w:rPr>
          <w:lang w:val="en-GB"/>
        </w:rPr>
        <w:t xml:space="preserve">) and NOAEC (0.5 ppm, </w:t>
      </w:r>
      <w:r w:rsidR="00857507">
        <w:rPr>
          <w:lang w:val="en-GB"/>
        </w:rPr>
        <w:t>1.6 mg/m</w:t>
      </w:r>
      <w:r w:rsidR="00857507">
        <w:rPr>
          <w:vertAlign w:val="superscript"/>
          <w:lang w:val="en-GB"/>
        </w:rPr>
        <w:t>3</w:t>
      </w:r>
      <w:r w:rsidR="00362552">
        <w:rPr>
          <w:lang w:val="en-GB"/>
        </w:rPr>
        <w:t xml:space="preserve">) </w:t>
      </w:r>
      <w:r w:rsidR="00362552" w:rsidRPr="1553EFF0">
        <w:rPr>
          <w:lang w:val="en-GB"/>
        </w:rPr>
        <w:t>for hematotoxicity and genotoxicity</w:t>
      </w:r>
      <w:r w:rsidR="00362552">
        <w:rPr>
          <w:lang w:val="en-GB"/>
        </w:rPr>
        <w:t xml:space="preserve"> were selected from analysis of</w:t>
      </w:r>
      <w:r w:rsidR="00362552" w:rsidRPr="1553EFF0">
        <w:rPr>
          <w:lang w:val="en-GB"/>
        </w:rPr>
        <w:t xml:space="preserve"> multiple high quality studies</w:t>
      </w:r>
      <w:r w:rsidR="00362552">
        <w:rPr>
          <w:lang w:val="en-GB"/>
        </w:rPr>
        <w:t xml:space="preserve"> </w:t>
      </w:r>
      <w:r w:rsidR="00362552" w:rsidRPr="1553EFF0">
        <w:rPr>
          <w:lang w:val="en-GB"/>
        </w:rPr>
        <w:fldChar w:fldCharType="begin"/>
      </w:r>
      <w:r w:rsidR="00CA7A02">
        <w:rPr>
          <w:lang w:val="en-GB"/>
        </w:rPr>
        <w:instrText xml:space="preserve"> ADDIN EN.CITE &lt;EndNote&gt;&lt;Cite&gt;&lt;Author&gt;Schnatter&lt;/Author&gt;&lt;Year&gt;2020&lt;/Year&gt;&lt;RecNum&gt;1091&lt;/RecNum&gt;&lt;DisplayText&gt;(Schnatter et al., 2020)&lt;/DisplayText&gt;&lt;record&gt;&lt;rec-number&gt;1091&lt;/rec-number&gt;&lt;foreign-keys&gt;&lt;key app="EN" db-id="0d0929f959rse9ex25rp09za5avf0ept9spf" timestamp="1580844846"&gt;1091&lt;/key&gt;&lt;/foreign-keys&gt;&lt;ref-type name="Journal Article"&gt;17&lt;/ref-type&gt;&lt;contributors&gt;&lt;authors&gt;&lt;author&gt;Schnatter, A Robert&lt;/author&gt;&lt;author&gt;Rooseboom, Martijn&lt;/author&gt;&lt;author&gt;Kocabas, Neslihan Aygun&lt;/author&gt;&lt;author&gt;North, Colin M&lt;/author&gt;&lt;author&gt;Dalzell, Abigail&lt;/author&gt;&lt;author&gt;Twisk, Johannes J&lt;/author&gt;&lt;author&gt;Faulhammer, Frank&lt;/author&gt;&lt;author&gt;Rushton, Erik&lt;/author&gt;&lt;author&gt;Boogard, Peter J&lt;/author&gt;&lt;author&gt;Ostapenkaite, Viktoria&lt;/author&gt;&lt;author&gt;Williams, Stephen D&lt;/author&gt;&lt;/authors&gt;&lt;/contributors&gt;&lt;titles&gt;&lt;title&gt;Derivation of an Occupational Exposure Limit for Benzene Using Epidemiological Study Quality Assessment Tools &lt;/title&gt;&lt;secondary-title&gt;Toxicology Letters&lt;/secondary-title&gt;&lt;/titles&gt;&lt;periodical&gt;&lt;full-title&gt;Toxicology Letters&lt;/full-title&gt;&lt;/periodical&gt;&lt;dates&gt;&lt;year&gt;2020&lt;/year&gt;&lt;/dates&gt;&lt;urls&gt;&lt;/urls&gt;&lt;electronic-resource-num&gt;https://doi.org/10.1016/j.toxlet.2020.05.036 &lt;/electronic-resource-num&gt;&lt;/record&gt;&lt;/Cite&gt;&lt;/EndNote&gt;</w:instrText>
      </w:r>
      <w:r w:rsidR="00362552" w:rsidRPr="1553EFF0">
        <w:rPr>
          <w:lang w:val="en-GB"/>
        </w:rPr>
        <w:fldChar w:fldCharType="separate"/>
      </w:r>
      <w:r w:rsidR="00362552" w:rsidRPr="1553EFF0">
        <w:rPr>
          <w:noProof/>
          <w:lang w:val="en-GB"/>
        </w:rPr>
        <w:t>(</w:t>
      </w:r>
      <w:hyperlink w:anchor="_ENREF_33" w:tooltip="Schnatter, 2020 #1091" w:history="1">
        <w:r w:rsidR="004C59A6" w:rsidRPr="1553EFF0">
          <w:rPr>
            <w:noProof/>
            <w:lang w:val="en-GB"/>
          </w:rPr>
          <w:t>Schnatter et al., 2020</w:t>
        </w:r>
      </w:hyperlink>
      <w:r w:rsidR="00362552" w:rsidRPr="1553EFF0">
        <w:rPr>
          <w:noProof/>
          <w:lang w:val="en-GB"/>
        </w:rPr>
        <w:t>)</w:t>
      </w:r>
      <w:r w:rsidR="00362552" w:rsidRPr="1553EFF0">
        <w:rPr>
          <w:lang w:val="en-GB"/>
        </w:rPr>
        <w:fldChar w:fldCharType="end"/>
      </w:r>
      <w:r w:rsidR="00362552" w:rsidRPr="1553EFF0">
        <w:rPr>
          <w:lang w:val="en-GB"/>
        </w:rPr>
        <w:t>.</w:t>
      </w:r>
      <w:r w:rsidR="00857507">
        <w:rPr>
          <w:lang w:val="en-GB"/>
        </w:rPr>
        <w:t xml:space="preserve"> </w:t>
      </w:r>
      <w:r w:rsidR="00362552" w:rsidRPr="1553EFF0">
        <w:rPr>
          <w:lang w:val="en-GB"/>
        </w:rPr>
        <w:t>Since there is no compelling data that shows either h</w:t>
      </w:r>
      <w:r w:rsidR="00F84BF1">
        <w:rPr>
          <w:lang w:val="en-GB"/>
        </w:rPr>
        <w:t>ematotoxic or genotoxic effects</w:t>
      </w:r>
      <w:r w:rsidR="00362552" w:rsidRPr="1553EFF0">
        <w:rPr>
          <w:lang w:val="en-GB"/>
        </w:rPr>
        <w:t xml:space="preserve"> below the LOAEC, concentrations below 2 ppm were thought plausible as a region below which risk for leukaemia would be decreased</w:t>
      </w:r>
      <w:r w:rsidR="00857507">
        <w:rPr>
          <w:lang w:val="en-GB"/>
        </w:rPr>
        <w:t xml:space="preserve">. </w:t>
      </w:r>
      <w:r w:rsidRPr="4F9A8300">
        <w:rPr>
          <w:lang w:val="en-GB"/>
        </w:rPr>
        <w:t>The modification factor applied corresponded to potential assessment factors commonly used in risk assessment that could be applied to the LOAEC to identify an OEL. Selection of the discrete intervals, and the associated assessment factor used for adjustment in that interval, should be identified. In the case of benzene the following change points and assessment factors were considered</w:t>
      </w:r>
      <w:r>
        <w:rPr>
          <w:lang w:val="en-GB"/>
        </w:rPr>
        <w:t xml:space="preserve"> based on the rationale outline in Schnatter</w:t>
      </w:r>
      <w:r w:rsidR="00F84BF1">
        <w:rPr>
          <w:lang w:val="en-GB"/>
        </w:rPr>
        <w:t xml:space="preserve"> et al</w:t>
      </w:r>
      <w:r>
        <w:rPr>
          <w:i/>
          <w:lang w:val="en-GB"/>
        </w:rPr>
        <w:t>.</w:t>
      </w:r>
      <w:r>
        <w:rPr>
          <w:lang w:val="en-GB"/>
        </w:rPr>
        <w:t xml:space="preserve"> (2020)</w:t>
      </w:r>
      <w:r w:rsidRPr="4F9A8300">
        <w:rPr>
          <w:lang w:val="en-GB"/>
        </w:rPr>
        <w:t>:</w:t>
      </w:r>
    </w:p>
    <w:tbl>
      <w:tblPr>
        <w:tblStyle w:val="TableGrid"/>
        <w:tblW w:w="0" w:type="auto"/>
        <w:tblLook w:val="04A0" w:firstRow="1" w:lastRow="0" w:firstColumn="1" w:lastColumn="0" w:noHBand="0" w:noVBand="1"/>
      </w:tblPr>
      <w:tblGrid>
        <w:gridCol w:w="3595"/>
        <w:gridCol w:w="2448"/>
      </w:tblGrid>
      <w:tr w:rsidR="008B6F21" w:rsidRPr="00CD48FA" w14:paraId="4DB3A33C" w14:textId="77777777" w:rsidTr="008B6F21">
        <w:tc>
          <w:tcPr>
            <w:tcW w:w="3595" w:type="dxa"/>
          </w:tcPr>
          <w:p w14:paraId="329F543F" w14:textId="77777777" w:rsidR="008B6F21" w:rsidRPr="00CD48FA" w:rsidRDefault="008B6F21" w:rsidP="008B6F21">
            <w:pPr>
              <w:rPr>
                <w:b/>
                <w:lang w:val="en-GB"/>
              </w:rPr>
            </w:pPr>
            <w:r w:rsidRPr="00CD48FA">
              <w:rPr>
                <w:b/>
                <w:lang w:val="en-GB"/>
              </w:rPr>
              <w:t>Discrete Interval</w:t>
            </w:r>
          </w:p>
        </w:tc>
        <w:tc>
          <w:tcPr>
            <w:tcW w:w="2448" w:type="dxa"/>
          </w:tcPr>
          <w:p w14:paraId="256FD10D" w14:textId="77777777" w:rsidR="008B6F21" w:rsidRPr="00CD48FA" w:rsidRDefault="008B6F21" w:rsidP="008B6F21">
            <w:pPr>
              <w:rPr>
                <w:b/>
                <w:lang w:val="en-GB"/>
              </w:rPr>
            </w:pPr>
            <w:r w:rsidRPr="00CD48FA">
              <w:rPr>
                <w:b/>
                <w:lang w:val="en-GB"/>
              </w:rPr>
              <w:t>Assessment Factor</w:t>
            </w:r>
          </w:p>
        </w:tc>
      </w:tr>
      <w:tr w:rsidR="008B6F21" w:rsidRPr="00CD48FA" w14:paraId="1E82FF11" w14:textId="77777777" w:rsidTr="008B6F21">
        <w:tc>
          <w:tcPr>
            <w:tcW w:w="3595" w:type="dxa"/>
          </w:tcPr>
          <w:p w14:paraId="7F8A0185" w14:textId="77777777" w:rsidR="008B6F21" w:rsidRPr="00CD48FA" w:rsidRDefault="008B6F21" w:rsidP="008B6F21">
            <w:pPr>
              <w:rPr>
                <w:lang w:val="en-GB"/>
              </w:rPr>
            </w:pPr>
            <w:r w:rsidRPr="00CD48FA">
              <w:rPr>
                <w:lang w:val="en-GB"/>
              </w:rPr>
              <w:t>LOAEC to NOAEC</w:t>
            </w:r>
          </w:p>
        </w:tc>
        <w:tc>
          <w:tcPr>
            <w:tcW w:w="2448" w:type="dxa"/>
          </w:tcPr>
          <w:p w14:paraId="6C694B84" w14:textId="1192E0B8" w:rsidR="008B6F21" w:rsidRPr="00CD48FA" w:rsidRDefault="00E11D54" w:rsidP="008B6F21">
            <w:pPr>
              <w:rPr>
                <w:lang w:val="en-GB"/>
              </w:rPr>
            </w:pPr>
            <w:r>
              <w:rPr>
                <w:lang w:val="en-GB"/>
              </w:rPr>
              <w:t>4 (composite of 2*2)</w:t>
            </w:r>
          </w:p>
        </w:tc>
      </w:tr>
      <w:tr w:rsidR="008B6F21" w:rsidRPr="00CD48FA" w14:paraId="1C603360" w14:textId="77777777" w:rsidTr="008B6F21">
        <w:tc>
          <w:tcPr>
            <w:tcW w:w="3595" w:type="dxa"/>
          </w:tcPr>
          <w:p w14:paraId="227FE93F" w14:textId="77777777" w:rsidR="008B6F21" w:rsidRPr="00CD48FA" w:rsidRDefault="008B6F21" w:rsidP="008B6F21">
            <w:pPr>
              <w:rPr>
                <w:lang w:val="en-GB"/>
              </w:rPr>
            </w:pPr>
            <w:r w:rsidRPr="00CD48FA">
              <w:rPr>
                <w:lang w:val="en-GB"/>
              </w:rPr>
              <w:t>NOAEC to OEL</w:t>
            </w:r>
          </w:p>
        </w:tc>
        <w:tc>
          <w:tcPr>
            <w:tcW w:w="2448" w:type="dxa"/>
          </w:tcPr>
          <w:p w14:paraId="2023E6F6" w14:textId="7A92F201" w:rsidR="008B6F21" w:rsidRPr="00CD48FA" w:rsidRDefault="00E11D54" w:rsidP="00E11D54">
            <w:pPr>
              <w:rPr>
                <w:lang w:val="en-GB"/>
              </w:rPr>
            </w:pPr>
            <w:r>
              <w:rPr>
                <w:lang w:val="en-GB"/>
              </w:rPr>
              <w:t>2</w:t>
            </w:r>
            <w:r w:rsidR="008B6F21" w:rsidRPr="00CD48FA">
              <w:rPr>
                <w:lang w:val="en-GB"/>
              </w:rPr>
              <w:t xml:space="preserve"> </w:t>
            </w:r>
          </w:p>
        </w:tc>
      </w:tr>
      <w:tr w:rsidR="00E11D54" w:rsidRPr="00CD48FA" w14:paraId="13AE8933" w14:textId="77777777" w:rsidTr="008B6F21">
        <w:tc>
          <w:tcPr>
            <w:tcW w:w="3595" w:type="dxa"/>
          </w:tcPr>
          <w:p w14:paraId="7B3E792F" w14:textId="58CA3FD9" w:rsidR="00E11D54" w:rsidRPr="00CD48FA" w:rsidRDefault="00E11D54" w:rsidP="008B6F21">
            <w:pPr>
              <w:rPr>
                <w:lang w:val="en-GB"/>
              </w:rPr>
            </w:pPr>
            <w:r>
              <w:rPr>
                <w:lang w:val="en-GB"/>
              </w:rPr>
              <w:t>LOAEC to OEL</w:t>
            </w:r>
          </w:p>
        </w:tc>
        <w:tc>
          <w:tcPr>
            <w:tcW w:w="2448" w:type="dxa"/>
          </w:tcPr>
          <w:p w14:paraId="26BBF4E4" w14:textId="6F9E7D3C" w:rsidR="00E11D54" w:rsidRDefault="00E11D54" w:rsidP="00E11D54">
            <w:pPr>
              <w:rPr>
                <w:lang w:val="en-GB"/>
              </w:rPr>
            </w:pPr>
            <w:r>
              <w:rPr>
                <w:lang w:val="en-GB"/>
              </w:rPr>
              <w:t>8 (composite of 4*2)</w:t>
            </w:r>
          </w:p>
        </w:tc>
      </w:tr>
    </w:tbl>
    <w:p w14:paraId="319FB2B5" w14:textId="77777777" w:rsidR="008B6F21" w:rsidRPr="00CD48FA" w:rsidRDefault="008B6F21" w:rsidP="008B6F21">
      <w:pPr>
        <w:rPr>
          <w:lang w:val="en-GB"/>
        </w:rPr>
      </w:pPr>
    </w:p>
    <w:p w14:paraId="4130D36D" w14:textId="6153AFAD" w:rsidR="00060087" w:rsidRDefault="00060087" w:rsidP="003E1538">
      <w:pPr>
        <w:pStyle w:val="Caption"/>
        <w:keepNext/>
      </w:pPr>
      <w:bookmarkStart w:id="10" w:name="_Ref42264100"/>
      <w:r>
        <w:t xml:space="preserve">Equation </w:t>
      </w:r>
      <w:r>
        <w:fldChar w:fldCharType="begin"/>
      </w:r>
      <w:r>
        <w:instrText xml:space="preserve"> SEQ Equation \* ARABIC </w:instrText>
      </w:r>
      <w:r>
        <w:fldChar w:fldCharType="separate"/>
      </w:r>
      <w:r>
        <w:rPr>
          <w:noProof/>
        </w:rPr>
        <w:t>1</w:t>
      </w:r>
      <w:r>
        <w:fldChar w:fldCharType="end"/>
      </w:r>
      <w:bookmarkEnd w:id="10"/>
      <w:r>
        <w:t>. Segment Modified Slope Model</w:t>
      </w:r>
    </w:p>
    <w:p w14:paraId="56979282" w14:textId="40D44C80" w:rsidR="008B6F21" w:rsidRPr="00CD48FA" w:rsidRDefault="008B6F21" w:rsidP="008B6F21">
      <w:pPr>
        <w:rPr>
          <w:rFonts w:eastAsiaTheme="minorEastAsia"/>
          <w:lang w:val="en-GB"/>
        </w:rPr>
      </w:pPr>
      <m:oMathPara>
        <m:oMath>
          <m:r>
            <w:rPr>
              <w:rFonts w:ascii="Cambria Math" w:hAnsi="Cambria Math"/>
              <w:lang w:val="en-GB"/>
            </w:rPr>
            <m:t>Risk</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m:t>
          </m:r>
          <m:d>
            <m:dPr>
              <m:begChr m:val="{"/>
              <m:endChr m:val=""/>
              <m:ctrlPr>
                <w:rPr>
                  <w:rFonts w:ascii="Cambria Math" w:hAnsi="Cambria Math"/>
                  <w:i/>
                  <w:lang w:val="en-GB"/>
                </w:rPr>
              </m:ctrlPr>
            </m:dPr>
            <m:e>
              <m:eqArr>
                <m:eqArrPr>
                  <m:ctrlPr>
                    <w:rPr>
                      <w:rFonts w:ascii="Cambria Math" w:hAnsi="Cambria Math"/>
                      <w:i/>
                      <w:lang w:val="en-GB"/>
                    </w:rPr>
                  </m:ctrlPr>
                </m:eqArrPr>
                <m:e/>
                <m:e>
                  <m:r>
                    <w:rPr>
                      <w:rFonts w:ascii="Cambria Math" w:hAnsi="Cambria Math"/>
                      <w:lang w:val="en-GB"/>
                    </w:rPr>
                    <m:t xml:space="preserve"> 0.25*</m:t>
                  </m:r>
                  <m:f>
                    <m:fPr>
                      <m:ctrlPr>
                        <w:rPr>
                          <w:rFonts w:ascii="Cambria Math" w:hAnsi="Cambria Math"/>
                          <w:i/>
                          <w:lang w:val="en-GB"/>
                        </w:rPr>
                      </m:ctrlPr>
                    </m:fPr>
                    <m:num>
                      <m:r>
                        <w:rPr>
                          <w:rFonts w:ascii="Cambria Math" w:hAnsi="Cambria Math"/>
                          <w:lang w:val="en-GB"/>
                        </w:rPr>
                        <m:t>0.01-Risk</m:t>
                      </m:r>
                      <m:d>
                        <m:dPr>
                          <m:ctrlPr>
                            <w:rPr>
                              <w:rFonts w:ascii="Cambria Math" w:hAnsi="Cambria Math"/>
                              <w:i/>
                              <w:lang w:val="en-GB"/>
                            </w:rPr>
                          </m:ctrlPr>
                        </m:dPr>
                        <m:e>
                          <m:r>
                            <w:rPr>
                              <w:rFonts w:ascii="Cambria Math" w:hAnsi="Cambria Math"/>
                              <w:lang w:val="en-GB"/>
                            </w:rPr>
                            <m:t xml:space="preserve">0.8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num>
                    <m:den>
                      <m:r>
                        <w:rPr>
                          <w:rFonts w:ascii="Cambria Math" w:hAnsi="Cambria Math"/>
                          <w:lang w:val="en-GB"/>
                        </w:rPr>
                        <m:t>60</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-0.32</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den>
                  </m:f>
                  <m:r>
                    <w:rPr>
                      <w:rFonts w:ascii="Cambria Math" w:hAnsi="Cambria Math"/>
                      <w:lang w:val="en-GB"/>
                    </w:rPr>
                    <m:t xml:space="preserve"> </m:t>
                  </m:r>
                  <m:d>
                    <m:dPr>
                      <m:ctrlPr>
                        <w:rPr>
                          <w:rFonts w:ascii="Cambria Math" w:hAnsi="Cambria Math"/>
                          <w:i/>
                          <w:lang w:val="en-GB"/>
                        </w:rPr>
                      </m:ctrlPr>
                    </m:d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-0.8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     </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&gt;0.8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 xml:space="preserve"> &lt;1.6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e>
                  <m:r>
                    <w:rPr>
                      <w:rFonts w:ascii="Cambria Math" w:hAnsi="Cambria Math"/>
                      <w:lang w:val="en-GB"/>
                    </w:rPr>
                    <m:t>Risk</m:t>
                  </m:r>
                  <m:d>
                    <m:dPr>
                      <m:ctrlPr>
                        <w:rPr>
                          <w:rFonts w:ascii="Cambria Math" w:hAnsi="Cambria Math"/>
                          <w:i/>
                          <w:lang w:val="en-GB"/>
                        </w:rPr>
                      </m:ctrlPr>
                    </m:dPr>
                    <m:e>
                      <m:r>
                        <w:rPr>
                          <w:rFonts w:ascii="Cambria Math" w:hAnsi="Cambria Math"/>
                          <w:lang w:val="en-GB"/>
                        </w:rPr>
                        <m:t>1.6</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+ 0.5*</m:t>
                  </m:r>
                  <m:f>
                    <m:fPr>
                      <m:ctrlPr>
                        <w:rPr>
                          <w:rFonts w:ascii="Cambria Math" w:hAnsi="Cambria Math"/>
                          <w:i/>
                          <w:lang w:val="en-GB"/>
                        </w:rPr>
                      </m:ctrlPr>
                    </m:fPr>
                    <m:num>
                      <m:r>
                        <w:rPr>
                          <w:rFonts w:ascii="Cambria Math" w:hAnsi="Cambria Math"/>
                          <w:lang w:val="en-GB"/>
                        </w:rPr>
                        <m:t>0.01-Risk</m:t>
                      </m:r>
                      <m:d>
                        <m:dPr>
                          <m:ctrlPr>
                            <w:rPr>
                              <w:rFonts w:ascii="Cambria Math" w:hAnsi="Cambria Math"/>
                              <w:i/>
                              <w:lang w:val="en-GB"/>
                            </w:rPr>
                          </m:ctrlPr>
                        </m:dPr>
                        <m:e>
                          <m:r>
                            <w:rPr>
                              <w:rFonts w:ascii="Cambria Math" w:hAnsi="Cambria Math"/>
                              <w:lang w:val="en-GB"/>
                            </w:rPr>
                            <m:t xml:space="preserve">1.6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num>
                    <m:den>
                      <m:r>
                        <w:rPr>
                          <w:rFonts w:ascii="Cambria Math" w:hAnsi="Cambria Math"/>
                          <w:lang w:val="en-GB"/>
                        </w:rPr>
                        <m:t>60</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-1.6</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den>
                  </m:f>
                  <m:r>
                    <w:rPr>
                      <w:rFonts w:ascii="Cambria Math" w:hAnsi="Cambria Math"/>
                      <w:lang w:val="en-GB"/>
                    </w:rPr>
                    <m:t xml:space="preserve"> </m:t>
                  </m:r>
                  <m:d>
                    <m:dPr>
                      <m:ctrlPr>
                        <w:rPr>
                          <w:rFonts w:ascii="Cambria Math" w:hAnsi="Cambria Math"/>
                          <w:i/>
                          <w:lang w:val="en-GB"/>
                        </w:rPr>
                      </m:ctrlPr>
                    </m:d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-1.6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     </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≥1.6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 xml:space="preserve"> &lt;6.38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ctrlPr>
                    <w:rPr>
                      <w:rFonts w:ascii="Cambria Math" w:eastAsia="Cambria Math" w:hAnsi="Cambria Math" w:cs="Cambria Math"/>
                      <w:i/>
                      <w:lang w:val="en-GB"/>
                    </w:rPr>
                  </m:ctrlPr>
                </m:e>
                <m:e>
                  <m:r>
                    <w:rPr>
                      <w:rFonts w:ascii="Cambria Math" w:hAnsi="Cambria Math"/>
                      <w:lang w:val="en-GB"/>
                    </w:rPr>
                    <m:t>Risk</m:t>
                  </m:r>
                  <m:d>
                    <m:dPr>
                      <m:ctrlPr>
                        <w:rPr>
                          <w:rFonts w:ascii="Cambria Math" w:hAnsi="Cambria Math"/>
                          <w:i/>
                          <w:lang w:val="en-GB"/>
                        </w:rPr>
                      </m:ctrlPr>
                    </m:dPr>
                    <m:e>
                      <m:r>
                        <w:rPr>
                          <w:rFonts w:ascii="Cambria Math" w:hAnsi="Cambria Math"/>
                          <w:lang w:val="en-GB"/>
                        </w:rPr>
                        <m:t>6.38</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m:t>
                  </m:r>
                  <m:f>
                    <m:fPr>
                      <m:ctrlPr>
                        <w:rPr>
                          <w:rFonts w:ascii="Cambria Math" w:hAnsi="Cambria Math"/>
                          <w:i/>
                          <w:lang w:val="en-GB"/>
                        </w:rPr>
                      </m:ctrlPr>
                    </m:fPr>
                    <m:num>
                      <m:r>
                        <w:rPr>
                          <w:rFonts w:ascii="Cambria Math" w:hAnsi="Cambria Math"/>
                          <w:lang w:val="en-GB"/>
                        </w:rPr>
                        <m:t>0.01-Risk</m:t>
                      </m:r>
                      <m:d>
                        <m:dPr>
                          <m:ctrlPr>
                            <w:rPr>
                              <w:rFonts w:ascii="Cambria Math" w:hAnsi="Cambria Math"/>
                              <w:i/>
                              <w:lang w:val="en-GB"/>
                            </w:rPr>
                          </m:ctrlPr>
                        </m:dPr>
                        <m:e>
                          <m:r>
                            <w:rPr>
                              <w:rFonts w:ascii="Cambria Math" w:hAnsi="Cambria Math"/>
                              <w:lang w:val="en-GB"/>
                            </w:rPr>
                            <m:t>6.38</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num>
                    <m:den>
                      <m:r>
                        <w:rPr>
                          <w:rFonts w:ascii="Cambria Math" w:hAnsi="Cambria Math"/>
                          <w:lang w:val="en-GB"/>
                        </w:rPr>
                        <m:t>60</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-6.38</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den>
                  </m:f>
                  <m:r>
                    <w:rPr>
                      <w:rFonts w:ascii="Cambria Math" w:hAnsi="Cambria Math"/>
                      <w:lang w:val="en-GB"/>
                    </w:rPr>
                    <m:t xml:space="preserve"> </m:t>
                  </m:r>
                  <m:d>
                    <m:dPr>
                      <m:ctrlPr>
                        <w:rPr>
                          <w:rFonts w:ascii="Cambria Math" w:hAnsi="Cambria Math"/>
                          <w:i/>
                          <w:lang w:val="en-GB"/>
                        </w:rPr>
                      </m:ctrlPr>
                    </m:d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-6.38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     </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≥6.38 </m:t>
                  </m:r>
                  <m:f>
                    <m:fPr>
                      <m:ctrlPr>
                        <w:rPr>
                          <w:rFonts w:ascii="Cambria Math" w:hAnsi="Cambria Math"/>
                          <w:i/>
                          <w:lang w:val="en-GB"/>
                        </w:rPr>
                      </m:ctrlPr>
                    </m:fPr>
                    <m:num>
                      <m:r>
                        <w:rPr>
                          <w:rFonts w:ascii="Cambria Math" w:hAnsi="Cambria Math"/>
                          <w:lang w:val="en-GB"/>
                        </w:rPr>
                        <m:t>mg</m:t>
                      </m:r>
                    </m:num>
                    <m:den>
                      <m:sSup>
                        <m:sSupPr>
                          <m:ctrlPr>
                            <w:rPr>
                              <w:rFonts w:ascii="Cambria Math" w:hAnsi="Cambria Math"/>
                              <w:i/>
                              <w:lang w:val="en-GB"/>
                            </w:rPr>
                          </m:ctrlPr>
                        </m:sSupPr>
                        <m:e>
                          <m:r>
                            <w:rPr>
                              <w:rFonts w:ascii="Cambria Math" w:hAnsi="Cambria Math"/>
                              <w:lang w:val="en-GB"/>
                            </w:rPr>
                            <m:t>m</m:t>
                          </m:r>
                        </m:e>
                        <m:sup>
                          <m:r>
                            <w:rPr>
                              <w:rFonts w:ascii="Cambria Math" w:hAnsi="Cambria Math"/>
                              <w:lang w:val="en-GB"/>
                            </w:rPr>
                            <m:t>3</m:t>
                          </m:r>
                        </m:sup>
                      </m:sSup>
                    </m:den>
                  </m:f>
                  <m:ctrlPr>
                    <w:rPr>
                      <w:rFonts w:ascii="Cambria Math" w:eastAsia="Cambria Math" w:hAnsi="Cambria Math" w:cs="Cambria Math"/>
                      <w:i/>
                      <w:lang w:val="en-GB"/>
                    </w:rPr>
                  </m:ctrlPr>
                </m:e>
                <m:e>
                  <m:ctrlPr>
                    <w:rPr>
                      <w:rFonts w:ascii="Cambria Math" w:eastAsia="Cambria Math" w:hAnsi="Cambria Math" w:cs="Cambria Math"/>
                      <w:i/>
                      <w:lang w:val="en-GB"/>
                    </w:rPr>
                  </m:ctrlPr>
                </m:e>
                <m:e>
                  <m:r>
                    <w:rPr>
                      <w:rFonts w:ascii="Cambria Math" w:hAnsi="Cambria Math"/>
                      <w:lang w:val="en-GB"/>
                    </w:rPr>
                    <m:t xml:space="preserve">                                                                                                                             </m:t>
                  </m:r>
                  <m:ctrlPr>
                    <w:rPr>
                      <w:rFonts w:ascii="Cambria Math" w:eastAsia="Cambria Math" w:hAnsi="Cambria Math" w:cs="Cambria Math"/>
                      <w:i/>
                      <w:lang w:val="en-GB"/>
                    </w:rPr>
                  </m:ctrlPr>
                </m:e>
                <m:e>
                  <m:r>
                    <w:rPr>
                      <w:rFonts w:ascii="Cambria Math" w:hAnsi="Cambria Math"/>
                      <w:lang w:val="en-GB"/>
                    </w:rPr>
                    <m:t>0  ,                                                                                                                                                                else</m:t>
                  </m:r>
                </m:e>
              </m:eqArr>
            </m:e>
          </m:d>
        </m:oMath>
      </m:oMathPara>
    </w:p>
    <w:p w14:paraId="6F49B369" w14:textId="77777777" w:rsidR="008B6F21" w:rsidRPr="00CD48FA" w:rsidRDefault="008B6F21" w:rsidP="0005608B">
      <w:pPr>
        <w:rPr>
          <w:lang w:val="en-GB"/>
        </w:rPr>
      </w:pPr>
    </w:p>
    <w:p w14:paraId="18520698" w14:textId="4C7654F9" w:rsidR="00C2706D" w:rsidRPr="00CD48FA" w:rsidRDefault="003371A1" w:rsidP="00334936">
      <w:pPr>
        <w:pStyle w:val="Heading2"/>
        <w:rPr>
          <w:lang w:val="en-GB"/>
        </w:rPr>
      </w:pPr>
      <w:r>
        <w:rPr>
          <w:lang w:val="en-GB"/>
        </w:rPr>
        <w:t>CDS</w:t>
      </w:r>
      <w:r w:rsidR="00C2706D" w:rsidRPr="00CD48FA">
        <w:rPr>
          <w:lang w:val="en-GB"/>
        </w:rPr>
        <w:t xml:space="preserve"> Model</w:t>
      </w:r>
    </w:p>
    <w:p w14:paraId="4648666B" w14:textId="08DA3D5B" w:rsidR="007111A9" w:rsidRDefault="007111A9" w:rsidP="001177B7">
      <w:pPr>
        <w:rPr>
          <w:lang w:val="en-GB"/>
        </w:rPr>
      </w:pPr>
      <w:r w:rsidRPr="1553EFF0">
        <w:rPr>
          <w:lang w:val="en-GB"/>
        </w:rPr>
        <w:t xml:space="preserve">The CDS model </w:t>
      </w:r>
      <w:r w:rsidR="00060087">
        <w:rPr>
          <w:lang w:val="en-GB"/>
        </w:rPr>
        <w:t>(</w:t>
      </w:r>
      <w:r w:rsidR="00060087">
        <w:rPr>
          <w:lang w:val="en-GB"/>
        </w:rPr>
        <w:fldChar w:fldCharType="begin"/>
      </w:r>
      <w:r w:rsidR="00060087">
        <w:rPr>
          <w:lang w:val="en-GB"/>
        </w:rPr>
        <w:instrText xml:space="preserve"> REF _Ref31803765 \h </w:instrText>
      </w:r>
      <w:r w:rsidR="00060087">
        <w:rPr>
          <w:lang w:val="en-GB"/>
        </w:rPr>
      </w:r>
      <w:r w:rsidR="00060087">
        <w:rPr>
          <w:lang w:val="en-GB"/>
        </w:rPr>
        <w:fldChar w:fldCharType="separate"/>
      </w:r>
      <w:r w:rsidR="0007366D">
        <w:t xml:space="preserve">Equation </w:t>
      </w:r>
      <w:r w:rsidR="0007366D">
        <w:rPr>
          <w:noProof/>
        </w:rPr>
        <w:t>2</w:t>
      </w:r>
      <w:r w:rsidR="00060087">
        <w:rPr>
          <w:lang w:val="en-GB"/>
        </w:rPr>
        <w:fldChar w:fldCharType="end"/>
      </w:r>
      <w:r w:rsidR="00060087">
        <w:rPr>
          <w:lang w:val="en-GB"/>
        </w:rPr>
        <w:t xml:space="preserve">) </w:t>
      </w:r>
      <w:r w:rsidRPr="1553EFF0">
        <w:rPr>
          <w:lang w:val="en-GB"/>
        </w:rPr>
        <w:t xml:space="preserve">utilized the same response function as </w:t>
      </w:r>
      <w:r w:rsidR="00AA6B7E" w:rsidRPr="1553EFF0">
        <w:rPr>
          <w:lang w:val="en-GB"/>
        </w:rPr>
        <w:t>LNT</w:t>
      </w:r>
      <w:r w:rsidRPr="1553EFF0">
        <w:rPr>
          <w:lang w:val="en-GB"/>
        </w:rPr>
        <w:t xml:space="preserve"> above its lower anchor point, the LOAEC</w:t>
      </w:r>
      <w:r w:rsidR="00857507">
        <w:rPr>
          <w:lang w:val="en-GB"/>
        </w:rPr>
        <w:t xml:space="preserve">. </w:t>
      </w:r>
    </w:p>
    <w:p w14:paraId="3C77C2D4" w14:textId="3AFF0B6F" w:rsidR="00B22F85" w:rsidRPr="00CD48FA" w:rsidRDefault="007111A9" w:rsidP="001177B7">
      <w:pPr>
        <w:rPr>
          <w:lang w:val="en-GB"/>
        </w:rPr>
      </w:pPr>
      <w:r>
        <w:rPr>
          <w:lang w:val="en-GB"/>
        </w:rPr>
        <w:t>Risk estimates i</w:t>
      </w:r>
      <w:r w:rsidR="004C1BA9" w:rsidRPr="00CD48FA">
        <w:rPr>
          <w:lang w:val="en-GB"/>
        </w:rPr>
        <w:t xml:space="preserve">n the </w:t>
      </w:r>
      <w:r w:rsidR="003371A1">
        <w:rPr>
          <w:lang w:val="en-GB"/>
        </w:rPr>
        <w:t>CDS</w:t>
      </w:r>
      <w:r w:rsidR="004C1BA9" w:rsidRPr="00CD48FA">
        <w:rPr>
          <w:lang w:val="en-GB"/>
        </w:rPr>
        <w:t xml:space="preserve"> model </w:t>
      </w:r>
      <w:r>
        <w:rPr>
          <w:lang w:val="en-GB"/>
        </w:rPr>
        <w:t>were</w:t>
      </w:r>
      <w:r w:rsidR="004C1BA9" w:rsidRPr="00CD48FA">
        <w:rPr>
          <w:lang w:val="en-GB"/>
        </w:rPr>
        <w:t xml:space="preserve"> assumed to decrease at concentrations less than </w:t>
      </w:r>
      <w:r w:rsidR="002A2DFA" w:rsidRPr="00CD48FA">
        <w:rPr>
          <w:lang w:val="en-GB"/>
        </w:rPr>
        <w:t xml:space="preserve">the </w:t>
      </w:r>
      <w:r w:rsidR="008807B7">
        <w:rPr>
          <w:lang w:val="en-GB"/>
        </w:rPr>
        <w:t xml:space="preserve">2 ppm </w:t>
      </w:r>
      <w:r w:rsidR="002A2DFA" w:rsidRPr="00CD48FA">
        <w:rPr>
          <w:lang w:val="en-GB"/>
        </w:rPr>
        <w:t>LOAEC</w:t>
      </w:r>
      <w:r w:rsidR="008807B7">
        <w:rPr>
          <w:lang w:val="en-GB"/>
        </w:rPr>
        <w:t xml:space="preserve"> for hematotoxicity and/or genotoxicity</w:t>
      </w:r>
      <w:r w:rsidR="002A2DFA" w:rsidRPr="00CD48FA">
        <w:rPr>
          <w:lang w:val="en-GB"/>
        </w:rPr>
        <w:t>.</w:t>
      </w:r>
      <w:r w:rsidR="004C1BA9" w:rsidRPr="00CD48FA">
        <w:rPr>
          <w:lang w:val="en-GB"/>
        </w:rPr>
        <w:t xml:space="preserve"> In the absence of justification for a more complex </w:t>
      </w:r>
      <w:r w:rsidR="0097208C" w:rsidRPr="00CD48FA">
        <w:rPr>
          <w:lang w:val="en-GB"/>
        </w:rPr>
        <w:t>shape for a slope</w:t>
      </w:r>
      <w:r w:rsidR="004C1BA9" w:rsidRPr="00CD48FA">
        <w:rPr>
          <w:lang w:val="en-GB"/>
        </w:rPr>
        <w:t xml:space="preserve"> reduction method, a simple </w:t>
      </w:r>
      <w:r w:rsidR="00456C76">
        <w:rPr>
          <w:lang w:val="en-GB"/>
        </w:rPr>
        <w:t>linear</w:t>
      </w:r>
      <w:r w:rsidR="0097208C" w:rsidRPr="00CD48FA">
        <w:rPr>
          <w:lang w:val="en-GB"/>
        </w:rPr>
        <w:t xml:space="preserve"> </w:t>
      </w:r>
      <w:r w:rsidR="0056544D">
        <w:rPr>
          <w:lang w:val="en-GB"/>
        </w:rPr>
        <w:t xml:space="preserve">function </w:t>
      </w:r>
      <w:r w:rsidR="004C1BA9" w:rsidRPr="00CD48FA">
        <w:rPr>
          <w:lang w:val="en-GB"/>
        </w:rPr>
        <w:t xml:space="preserve">was applied. In </w:t>
      </w:r>
      <w:r w:rsidR="0056544D">
        <w:rPr>
          <w:lang w:val="en-GB"/>
        </w:rPr>
        <w:t xml:space="preserve">the </w:t>
      </w:r>
      <w:r w:rsidR="002A2DFA" w:rsidRPr="00CD48FA">
        <w:rPr>
          <w:lang w:val="en-GB"/>
        </w:rPr>
        <w:t xml:space="preserve">modification </w:t>
      </w:r>
      <w:r w:rsidR="0056544D">
        <w:rPr>
          <w:lang w:val="en-GB"/>
        </w:rPr>
        <w:t xml:space="preserve">factor </w:t>
      </w:r>
      <w:r w:rsidR="002A2DFA" w:rsidRPr="00CD48FA">
        <w:rPr>
          <w:lang w:val="en-GB"/>
        </w:rPr>
        <w:t>there is no reduction in slope at LOAEC</w:t>
      </w:r>
      <w:r w:rsidR="003E0DF8" w:rsidRPr="00CD48FA">
        <w:rPr>
          <w:lang w:val="en-GB"/>
        </w:rPr>
        <w:t xml:space="preserve"> (</w:t>
      </w:r>
      <w:r w:rsidR="003E0DF8" w:rsidRPr="00CD48FA">
        <w:rPr>
          <w:i/>
          <w:lang w:val="en-GB"/>
        </w:rPr>
        <w:t>i.e.</w:t>
      </w:r>
      <w:r w:rsidR="003E0DF8" w:rsidRPr="00CD48FA">
        <w:rPr>
          <w:lang w:val="en-GB"/>
        </w:rPr>
        <w:t>, it is a value of one</w:t>
      </w:r>
      <w:r w:rsidR="0097208C" w:rsidRPr="00CD48FA">
        <w:rPr>
          <w:lang w:val="en-GB"/>
        </w:rPr>
        <w:t xml:space="preserve"> at the LOAEC</w:t>
      </w:r>
      <w:r w:rsidR="003E0DF8" w:rsidRPr="00CD48FA">
        <w:rPr>
          <w:lang w:val="en-GB"/>
        </w:rPr>
        <w:t>)</w:t>
      </w:r>
      <w:r w:rsidR="002A2DFA" w:rsidRPr="00CD48FA">
        <w:rPr>
          <w:lang w:val="en-GB"/>
        </w:rPr>
        <w:t>, but as concentrations become closer to the OEL the modification factor</w:t>
      </w:r>
      <w:r w:rsidR="0097208C" w:rsidRPr="00CD48FA">
        <w:rPr>
          <w:lang w:val="en-GB"/>
        </w:rPr>
        <w:t xml:space="preserve"> progressively </w:t>
      </w:r>
      <w:r>
        <w:rPr>
          <w:lang w:val="en-GB"/>
        </w:rPr>
        <w:t>approaches zero until it reaches the</w:t>
      </w:r>
      <w:r w:rsidR="0056544D">
        <w:rPr>
          <w:lang w:val="en-GB"/>
        </w:rPr>
        <w:t xml:space="preserve"> OEL</w:t>
      </w:r>
      <w:r>
        <w:rPr>
          <w:lang w:val="en-GB"/>
        </w:rPr>
        <w:t>, where it becomes equal to</w:t>
      </w:r>
      <w:r w:rsidR="0056544D">
        <w:rPr>
          <w:lang w:val="en-GB"/>
        </w:rPr>
        <w:t xml:space="preserve"> </w:t>
      </w:r>
      <w:r w:rsidR="00424E9F">
        <w:rPr>
          <w:lang w:val="en-GB"/>
        </w:rPr>
        <w:t>zero</w:t>
      </w:r>
      <w:r w:rsidR="002A2DFA" w:rsidRPr="00CD48FA">
        <w:rPr>
          <w:lang w:val="en-GB"/>
        </w:rPr>
        <w:t>.</w:t>
      </w:r>
    </w:p>
    <w:p w14:paraId="49A9A7AC" w14:textId="449602EA" w:rsidR="0056544D" w:rsidRPr="0056544D" w:rsidRDefault="0056544D" w:rsidP="001177B7">
      <w:pPr>
        <w:rPr>
          <w:rFonts w:eastAsiaTheme="minorEastAsia"/>
          <w:lang w:val="en-GB"/>
        </w:rPr>
      </w:pPr>
      <m:oMathPara>
        <m:oMath>
          <m:r>
            <w:rPr>
              <w:rFonts w:ascii="Cambria Math" w:hAnsi="Cambria Math"/>
              <w:lang w:val="en-GB"/>
            </w:rPr>
            <m:t>Modification Factor function=mx+b</m:t>
          </m:r>
        </m:oMath>
      </m:oMathPara>
    </w:p>
    <w:p w14:paraId="7E37FF09" w14:textId="0C734E4D" w:rsidR="002A2DFA" w:rsidRPr="00CD48FA" w:rsidRDefault="004452A9" w:rsidP="001177B7">
      <w:pPr>
        <w:rPr>
          <w:rFonts w:eastAsiaTheme="minorEastAsia"/>
          <w:lang w:val="en-GB"/>
        </w:rPr>
      </w:pPr>
      <m:oMathPara>
        <m:oMath>
          <m:r>
            <w:rPr>
              <w:rFonts w:ascii="Cambria Math" w:hAnsi="Cambria Math"/>
              <w:lang w:val="en-GB"/>
            </w:rPr>
            <m:t>m=</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2</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1</m:t>
                  </m:r>
                </m:sub>
              </m:sSub>
            </m:num>
            <m:den>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2</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1</m:t>
                  </m:r>
                </m:sub>
              </m:sSub>
            </m:den>
          </m:f>
          <m:r>
            <w:rPr>
              <w:rFonts w:ascii="Cambria Math" w:hAnsi="Cambria Math"/>
              <w:lang w:val="en-GB"/>
            </w:rPr>
            <m:t>=</m:t>
          </m:r>
          <m:f>
            <m:fPr>
              <m:ctrlPr>
                <w:rPr>
                  <w:rFonts w:ascii="Cambria Math" w:hAnsi="Cambria Math"/>
                  <w:i/>
                  <w:lang w:val="en-GB"/>
                </w:rPr>
              </m:ctrlPr>
            </m:fPr>
            <m:num>
              <m:r>
                <w:rPr>
                  <w:rFonts w:ascii="Cambria Math" w:hAnsi="Cambria Math"/>
                  <w:lang w:val="en-GB"/>
                </w:rPr>
                <m:t>1-0</m:t>
              </m:r>
            </m:num>
            <m:den>
              <m:r>
                <w:rPr>
                  <w:rFonts w:ascii="Cambria Math" w:hAnsi="Cambria Math"/>
                  <w:lang w:val="en-GB"/>
                </w:rPr>
                <m:t>LOAEC-OEL</m:t>
              </m:r>
            </m:den>
          </m:f>
        </m:oMath>
      </m:oMathPara>
    </w:p>
    <w:p w14:paraId="09C238DB" w14:textId="2DA3CC68" w:rsidR="003E0DF8" w:rsidRPr="00CD48FA" w:rsidRDefault="004452A9" w:rsidP="001177B7">
      <w:pPr>
        <w:rPr>
          <w:rFonts w:eastAsiaTheme="minorEastAsia"/>
          <w:lang w:val="en-GB"/>
        </w:rPr>
      </w:pPr>
      <m:oMathPara>
        <m:oMath>
          <m:r>
            <w:rPr>
              <w:rFonts w:ascii="Cambria Math" w:eastAsiaTheme="minorEastAsia" w:hAnsi="Cambria Math"/>
              <w:lang w:val="en-GB"/>
            </w:rPr>
            <m:t>b=y-mx=0-</m:t>
          </m:r>
          <m:d>
            <m:dPr>
              <m:ctrlPr>
                <w:rPr>
                  <w:rFonts w:ascii="Cambria Math" w:eastAsiaTheme="minorEastAsia" w:hAnsi="Cambria Math"/>
                  <w:i/>
                  <w:lang w:val="en-GB"/>
                </w:rPr>
              </m:ctrlPr>
            </m:dPr>
            <m:e>
              <m:r>
                <w:rPr>
                  <w:rFonts w:ascii="Cambria Math" w:eastAsiaTheme="minorEastAsia" w:hAnsi="Cambria Math"/>
                  <w:lang w:val="en-GB"/>
                </w:rPr>
                <m:t>m×OEL</m:t>
              </m:r>
            </m:e>
          </m:d>
        </m:oMath>
      </m:oMathPara>
    </w:p>
    <w:p w14:paraId="47203323" w14:textId="570D198D" w:rsidR="003E0DF8" w:rsidRPr="00CD48FA" w:rsidRDefault="008807B7" w:rsidP="4E52C179">
      <w:pPr>
        <w:rPr>
          <w:rFonts w:eastAsiaTheme="minorEastAsia"/>
          <w:lang w:val="en-GB"/>
        </w:rPr>
      </w:pPr>
      <w:r w:rsidRPr="1DFC466C">
        <w:rPr>
          <w:rFonts w:eastAsiaTheme="minorEastAsia"/>
          <w:lang w:val="en-GB"/>
        </w:rPr>
        <w:t xml:space="preserve">In this concept, </w:t>
      </w:r>
      <w:r w:rsidR="0056544D" w:rsidRPr="1DFC466C">
        <w:rPr>
          <w:rFonts w:eastAsiaTheme="minorEastAsia"/>
          <w:lang w:val="en-GB"/>
        </w:rPr>
        <w:t xml:space="preserve">the slope for the modification factor </w:t>
      </w:r>
      <w:r w:rsidR="007111A9" w:rsidRPr="1DFC466C">
        <w:rPr>
          <w:rFonts w:eastAsiaTheme="minorEastAsia"/>
          <w:lang w:val="en-GB"/>
        </w:rPr>
        <w:t xml:space="preserve">function </w:t>
      </w:r>
      <w:r w:rsidR="0056544D" w:rsidRPr="1DFC466C">
        <w:rPr>
          <w:rFonts w:eastAsiaTheme="minorEastAsia"/>
          <w:lang w:val="en-GB"/>
        </w:rPr>
        <w:t xml:space="preserve">is calculated using </w:t>
      </w:r>
      <w:r w:rsidR="004452A9" w:rsidRPr="1DFC466C">
        <w:rPr>
          <w:rFonts w:eastAsiaTheme="minorEastAsia"/>
          <w:lang w:val="en-GB"/>
        </w:rPr>
        <w:t xml:space="preserve">simple algebra: </w:t>
      </w:r>
      <w:r w:rsidR="00992C2D" w:rsidRPr="1DFC466C">
        <w:rPr>
          <w:rFonts w:eastAsiaTheme="minorEastAsia"/>
          <w:lang w:val="en-GB"/>
        </w:rPr>
        <w:t xml:space="preserve">the lower </w:t>
      </w:r>
      <w:r w:rsidRPr="1DFC466C">
        <w:rPr>
          <w:rFonts w:eastAsiaTheme="minorEastAsia"/>
          <w:lang w:val="en-GB"/>
        </w:rPr>
        <w:t xml:space="preserve">point </w:t>
      </w:r>
      <w:r w:rsidR="004452A9" w:rsidRPr="1DFC466C">
        <w:rPr>
          <w:rFonts w:eastAsiaTheme="minorEastAsia"/>
          <w:lang w:val="en-GB"/>
        </w:rPr>
        <w:t>of the modification factor function occurs at the OEL where risk assumed to be</w:t>
      </w:r>
      <w:r w:rsidRPr="1DFC466C">
        <w:rPr>
          <w:rFonts w:eastAsiaTheme="minorEastAsia"/>
          <w:lang w:val="en-GB"/>
        </w:rPr>
        <w:t xml:space="preserve"> zero</w:t>
      </w:r>
      <w:r w:rsidR="0056544D" w:rsidRPr="1DFC466C">
        <w:rPr>
          <w:rFonts w:eastAsiaTheme="minorEastAsia"/>
          <w:lang w:val="en-GB"/>
        </w:rPr>
        <w:t xml:space="preserve"> (</w:t>
      </w:r>
      <w:r w:rsidR="0056544D" w:rsidRPr="1DFC466C">
        <w:rPr>
          <w:rFonts w:eastAsiaTheme="minorEastAsia"/>
          <w:i/>
          <w:iCs/>
          <w:lang w:val="en-GB"/>
        </w:rPr>
        <w:t>i.e.</w:t>
      </w:r>
      <w:r w:rsidR="0056544D" w:rsidRPr="1DFC466C">
        <w:rPr>
          <w:rFonts w:eastAsiaTheme="minorEastAsia"/>
          <w:lang w:val="en-GB"/>
        </w:rPr>
        <w:t>,</w:t>
      </w:r>
      <w:r w:rsidR="00992C2D" w:rsidRPr="1DFC466C">
        <w:rPr>
          <w:rFonts w:eastAsiaTheme="minorEastAsia"/>
          <w:lang w:val="en-GB"/>
        </w:rPr>
        <w:t xml:space="preserve"> where y is the modification factor, </w:t>
      </w:r>
      <w:r w:rsidR="0056544D" w:rsidRPr="1DFC466C">
        <w:rPr>
          <w:rFonts w:eastAsiaTheme="minorEastAsia"/>
          <w:lang w:val="en-GB"/>
        </w:rPr>
        <w:t xml:space="preserve"> y</w:t>
      </w:r>
      <w:r w:rsidR="0056544D" w:rsidRPr="1DFC466C">
        <w:rPr>
          <w:rFonts w:eastAsiaTheme="minorEastAsia"/>
          <w:vertAlign w:val="subscript"/>
          <w:lang w:val="en-GB"/>
        </w:rPr>
        <w:t>1</w:t>
      </w:r>
      <w:r w:rsidR="0056544D" w:rsidRPr="1DFC466C">
        <w:rPr>
          <w:rFonts w:eastAsiaTheme="minorEastAsia"/>
          <w:lang w:val="en-GB"/>
        </w:rPr>
        <w:t xml:space="preserve"> = </w:t>
      </w:r>
      <w:r w:rsidR="004452A9" w:rsidRPr="1DFC466C">
        <w:rPr>
          <w:rFonts w:eastAsiaTheme="minorEastAsia"/>
          <w:lang w:val="en-GB"/>
        </w:rPr>
        <w:t>0</w:t>
      </w:r>
      <w:r w:rsidR="0056544D" w:rsidRPr="1DFC466C">
        <w:rPr>
          <w:rFonts w:eastAsiaTheme="minorEastAsia"/>
          <w:lang w:val="en-GB"/>
        </w:rPr>
        <w:t xml:space="preserve"> and x</w:t>
      </w:r>
      <w:r w:rsidR="0056544D" w:rsidRPr="1DFC466C">
        <w:rPr>
          <w:rFonts w:eastAsiaTheme="minorEastAsia"/>
          <w:vertAlign w:val="subscript"/>
          <w:lang w:val="en-GB"/>
        </w:rPr>
        <w:t>1</w:t>
      </w:r>
      <w:r w:rsidR="0056544D" w:rsidRPr="1DFC466C">
        <w:rPr>
          <w:rFonts w:eastAsiaTheme="minorEastAsia"/>
          <w:lang w:val="en-GB"/>
        </w:rPr>
        <w:t xml:space="preserve"> = OEL)</w:t>
      </w:r>
      <w:r w:rsidR="004452A9" w:rsidRPr="1DFC466C">
        <w:rPr>
          <w:rFonts w:eastAsiaTheme="minorEastAsia"/>
          <w:lang w:val="en-GB"/>
        </w:rPr>
        <w:t xml:space="preserve">, with </w:t>
      </w:r>
      <w:r w:rsidR="00992C2D" w:rsidRPr="1DFC466C">
        <w:rPr>
          <w:rFonts w:eastAsiaTheme="minorEastAsia"/>
          <w:lang w:val="en-GB"/>
        </w:rPr>
        <w:t>the upper</w:t>
      </w:r>
      <w:r w:rsidR="004452A9" w:rsidRPr="1DFC466C">
        <w:rPr>
          <w:rFonts w:eastAsiaTheme="minorEastAsia"/>
          <w:lang w:val="en-GB"/>
        </w:rPr>
        <w:t xml:space="preserve"> point found where risk extrapolated from observed is unmodified (i.e., y</w:t>
      </w:r>
      <w:r w:rsidR="004452A9" w:rsidRPr="1DFC466C">
        <w:rPr>
          <w:rFonts w:eastAsiaTheme="minorEastAsia"/>
          <w:vertAlign w:val="subscript"/>
          <w:lang w:val="en-GB"/>
        </w:rPr>
        <w:t>2</w:t>
      </w:r>
      <w:r w:rsidR="004452A9" w:rsidRPr="1DFC466C">
        <w:rPr>
          <w:rFonts w:eastAsiaTheme="minorEastAsia"/>
          <w:lang w:val="en-GB"/>
        </w:rPr>
        <w:t xml:space="preserve"> = 1 and x</w:t>
      </w:r>
      <w:r w:rsidR="004452A9" w:rsidRPr="1DFC466C">
        <w:rPr>
          <w:rFonts w:eastAsiaTheme="minorEastAsia"/>
          <w:vertAlign w:val="subscript"/>
          <w:lang w:val="en-GB"/>
        </w:rPr>
        <w:t>2</w:t>
      </w:r>
      <w:r w:rsidR="004452A9" w:rsidRPr="1DFC466C">
        <w:rPr>
          <w:rFonts w:eastAsiaTheme="minorEastAsia"/>
          <w:lang w:val="en-GB"/>
        </w:rPr>
        <w:t xml:space="preserve"> = LOAEC)</w:t>
      </w:r>
      <w:r w:rsidRPr="1DFC466C">
        <w:rPr>
          <w:rFonts w:eastAsiaTheme="minorEastAsia"/>
          <w:lang w:val="en-GB"/>
        </w:rPr>
        <w:t>.</w:t>
      </w:r>
      <w:r w:rsidR="00A03DF2" w:rsidRPr="1DFC466C">
        <w:rPr>
          <w:rFonts w:eastAsiaTheme="minorEastAsia"/>
          <w:lang w:val="en-GB"/>
        </w:rPr>
        <w:t xml:space="preserve"> </w:t>
      </w:r>
      <w:r w:rsidR="00D832E1" w:rsidRPr="1DFC466C">
        <w:rPr>
          <w:rFonts w:eastAsiaTheme="minorEastAsia"/>
          <w:lang w:val="en-GB"/>
        </w:rPr>
        <w:t>After</w:t>
      </w:r>
      <w:r w:rsidR="004452A9" w:rsidRPr="1DFC466C">
        <w:rPr>
          <w:rFonts w:eastAsiaTheme="minorEastAsia"/>
          <w:lang w:val="en-GB"/>
        </w:rPr>
        <w:t xml:space="preserve"> the slope of the modification factor is calculated, the intercept is calculated using either of the </w:t>
      </w:r>
      <w:r w:rsidR="007111A9" w:rsidRPr="1DFC466C">
        <w:rPr>
          <w:rFonts w:eastAsiaTheme="minorEastAsia"/>
          <w:lang w:val="en-GB"/>
        </w:rPr>
        <w:t>OEL or LOAEC coordinates</w:t>
      </w:r>
      <w:r w:rsidR="004452A9" w:rsidRPr="1DFC466C">
        <w:rPr>
          <w:rFonts w:eastAsiaTheme="minorEastAsia"/>
          <w:lang w:val="en-GB"/>
        </w:rPr>
        <w:t xml:space="preserve"> as input, though use of the OEL value is </w:t>
      </w:r>
      <w:r w:rsidR="00164730" w:rsidRPr="1DFC466C">
        <w:rPr>
          <w:rFonts w:eastAsiaTheme="minorEastAsia"/>
          <w:lang w:val="en-GB"/>
        </w:rPr>
        <w:t>math</w:t>
      </w:r>
      <w:r w:rsidR="4C2B0FB2" w:rsidRPr="1DFC466C">
        <w:rPr>
          <w:rFonts w:eastAsiaTheme="minorEastAsia"/>
          <w:lang w:val="en-GB"/>
        </w:rPr>
        <w:t>e</w:t>
      </w:r>
      <w:r w:rsidR="00164730" w:rsidRPr="1DFC466C">
        <w:rPr>
          <w:rFonts w:eastAsiaTheme="minorEastAsia"/>
          <w:lang w:val="en-GB"/>
        </w:rPr>
        <w:t>matically</w:t>
      </w:r>
      <w:r w:rsidR="004452A9" w:rsidRPr="1DFC466C">
        <w:rPr>
          <w:rFonts w:eastAsiaTheme="minorEastAsia"/>
          <w:lang w:val="en-GB"/>
        </w:rPr>
        <w:t xml:space="preserve"> simpl</w:t>
      </w:r>
      <w:r w:rsidR="00992C2D" w:rsidRPr="1DFC466C">
        <w:rPr>
          <w:rFonts w:eastAsiaTheme="minorEastAsia"/>
          <w:lang w:val="en-GB"/>
        </w:rPr>
        <w:t>er</w:t>
      </w:r>
      <w:r w:rsidR="004452A9" w:rsidRPr="1DFC466C">
        <w:rPr>
          <w:rFonts w:eastAsiaTheme="minorEastAsia"/>
          <w:lang w:val="en-GB"/>
        </w:rPr>
        <w:t xml:space="preserve"> because it makes y</w:t>
      </w:r>
      <w:r w:rsidR="00424E9F" w:rsidRPr="1DFC466C">
        <w:rPr>
          <w:rFonts w:eastAsiaTheme="minorEastAsia"/>
          <w:lang w:val="en-GB"/>
        </w:rPr>
        <w:t xml:space="preserve"> </w:t>
      </w:r>
      <w:r w:rsidR="004452A9" w:rsidRPr="1DFC466C">
        <w:rPr>
          <w:rFonts w:eastAsiaTheme="minorEastAsia"/>
          <w:lang w:val="en-GB"/>
        </w:rPr>
        <w:t>=</w:t>
      </w:r>
      <w:r w:rsidR="00424E9F" w:rsidRPr="1DFC466C">
        <w:rPr>
          <w:rFonts w:eastAsiaTheme="minorEastAsia"/>
          <w:lang w:val="en-GB"/>
        </w:rPr>
        <w:t xml:space="preserve"> </w:t>
      </w:r>
      <w:r w:rsidR="004452A9" w:rsidRPr="1DFC466C">
        <w:rPr>
          <w:rFonts w:eastAsiaTheme="minorEastAsia"/>
          <w:lang w:val="en-GB"/>
        </w:rPr>
        <w:t xml:space="preserve">0. </w:t>
      </w:r>
      <w:r w:rsidR="003E0DF8" w:rsidRPr="1DFC466C">
        <w:rPr>
          <w:rFonts w:eastAsiaTheme="minorEastAsia"/>
          <w:lang w:val="en-GB"/>
        </w:rPr>
        <w:t xml:space="preserve">Once a </w:t>
      </w:r>
      <w:r w:rsidR="007111A9" w:rsidRPr="1DFC466C">
        <w:rPr>
          <w:rFonts w:eastAsiaTheme="minorEastAsia"/>
          <w:lang w:val="en-GB"/>
        </w:rPr>
        <w:t>modification factor</w:t>
      </w:r>
      <w:r w:rsidR="003E0DF8" w:rsidRPr="1DFC466C">
        <w:rPr>
          <w:rFonts w:eastAsiaTheme="minorEastAsia"/>
          <w:lang w:val="en-GB"/>
        </w:rPr>
        <w:t xml:space="preserve"> function is </w:t>
      </w:r>
      <w:r w:rsidR="0097208C" w:rsidRPr="1DFC466C">
        <w:rPr>
          <w:rFonts w:eastAsiaTheme="minorEastAsia"/>
          <w:lang w:val="en-GB"/>
        </w:rPr>
        <w:t>defined</w:t>
      </w:r>
      <w:r w:rsidR="003E0DF8" w:rsidRPr="1DFC466C">
        <w:rPr>
          <w:rFonts w:eastAsiaTheme="minorEastAsia"/>
          <w:lang w:val="en-GB"/>
        </w:rPr>
        <w:t xml:space="preserve"> for </w:t>
      </w:r>
      <w:r w:rsidR="0097208C" w:rsidRPr="1DFC466C">
        <w:rPr>
          <w:rFonts w:eastAsiaTheme="minorEastAsia"/>
          <w:lang w:val="en-GB"/>
        </w:rPr>
        <w:t>the</w:t>
      </w:r>
      <w:r w:rsidR="003E0DF8" w:rsidRPr="1DFC466C">
        <w:rPr>
          <w:rFonts w:eastAsiaTheme="minorEastAsia"/>
          <w:lang w:val="en-GB"/>
        </w:rPr>
        <w:t xml:space="preserve"> region </w:t>
      </w:r>
      <w:r w:rsidR="00D832E1" w:rsidRPr="1DFC466C">
        <w:rPr>
          <w:rFonts w:eastAsiaTheme="minorEastAsia"/>
          <w:lang w:val="en-GB"/>
        </w:rPr>
        <w:t xml:space="preserve">of interest </w:t>
      </w:r>
      <w:r w:rsidR="0097208C" w:rsidRPr="1DFC466C">
        <w:rPr>
          <w:rFonts w:eastAsiaTheme="minorEastAsia"/>
          <w:lang w:val="en-GB"/>
        </w:rPr>
        <w:t>(the region below the LOAE</w:t>
      </w:r>
      <w:r w:rsidR="00D832E1" w:rsidRPr="1DFC466C">
        <w:rPr>
          <w:rFonts w:eastAsiaTheme="minorEastAsia"/>
          <w:lang w:val="en-GB"/>
        </w:rPr>
        <w:t>C</w:t>
      </w:r>
      <w:r w:rsidR="0097208C" w:rsidRPr="1DFC466C">
        <w:rPr>
          <w:rFonts w:eastAsiaTheme="minorEastAsia"/>
          <w:lang w:val="en-GB"/>
        </w:rPr>
        <w:t xml:space="preserve"> for hematotoxicity and/or genetic toxicity)</w:t>
      </w:r>
      <w:r w:rsidR="34AF34E8" w:rsidRPr="1DFC466C">
        <w:rPr>
          <w:rFonts w:eastAsiaTheme="minorEastAsia"/>
          <w:lang w:val="en-GB"/>
        </w:rPr>
        <w:t>,</w:t>
      </w:r>
      <w:r w:rsidR="003E0DF8" w:rsidRPr="1DFC466C">
        <w:rPr>
          <w:rFonts w:eastAsiaTheme="minorEastAsia"/>
          <w:lang w:val="en-GB"/>
        </w:rPr>
        <w:t>the linear risk function becomes</w:t>
      </w:r>
      <w:r w:rsidR="008B6F21">
        <w:rPr>
          <w:rFonts w:eastAsiaTheme="minorEastAsia"/>
          <w:lang w:val="en-GB"/>
        </w:rPr>
        <w:t xml:space="preserve"> modified.</w:t>
      </w:r>
    </w:p>
    <w:p w14:paraId="1849D578" w14:textId="3F567569" w:rsidR="003E0DF8" w:rsidRPr="00CD48FA" w:rsidRDefault="003E0DF8" w:rsidP="001177B7">
      <w:pPr>
        <w:rPr>
          <w:rFonts w:eastAsiaTheme="minorEastAsia"/>
          <w:lang w:val="en-GB"/>
        </w:rPr>
      </w:pPr>
      <m:oMathPara>
        <m:oMath>
          <m:r>
            <w:rPr>
              <w:rFonts w:ascii="Cambria Math" w:eastAsiaTheme="minorEastAsia" w:hAnsi="Cambria Math"/>
              <w:lang w:val="en-GB"/>
            </w:rPr>
            <m:t>Risk=</m:t>
          </m:r>
          <m:d>
            <m:dPr>
              <m:ctrlPr>
                <w:rPr>
                  <w:rFonts w:ascii="Cambria Math" w:eastAsiaTheme="minorEastAsia" w:hAnsi="Cambria Math"/>
                  <w:i/>
                  <w:lang w:val="en-GB"/>
                </w:rPr>
              </m:ctrlPr>
            </m:dPr>
            <m:e>
              <m:r>
                <w:rPr>
                  <w:rFonts w:ascii="Cambria Math" w:eastAsiaTheme="minorEastAsia" w:hAnsi="Cambria Math"/>
                  <w:lang w:val="en-GB"/>
                </w:rPr>
                <m:t>Slope for Modification Factor ×Concentration+intercept</m:t>
              </m:r>
            </m:e>
          </m:d>
          <m:r>
            <w:rPr>
              <w:rFonts w:ascii="Cambria Math" w:eastAsiaTheme="minorEastAsia" w:hAnsi="Cambria Math"/>
              <w:lang w:val="en-GB"/>
            </w:rPr>
            <m:t>×Linear Model Slope×Concentration</m:t>
          </m:r>
        </m:oMath>
      </m:oMathPara>
    </w:p>
    <w:p w14:paraId="1AD05E10" w14:textId="20B6F750" w:rsidR="003E0DF8" w:rsidRDefault="001A1CDF" w:rsidP="4E52C179">
      <w:pPr>
        <w:rPr>
          <w:rFonts w:eastAsiaTheme="minorEastAsia"/>
          <w:lang w:val="en-GB"/>
        </w:rPr>
      </w:pPr>
      <w:r w:rsidRPr="4E52C179">
        <w:rPr>
          <w:rFonts w:eastAsiaTheme="minorEastAsia"/>
          <w:lang w:val="en-GB"/>
        </w:rPr>
        <w:t>In this implementation, there are effectively three segments:</w:t>
      </w:r>
      <w:r w:rsidR="003F1958" w:rsidRPr="4E52C179">
        <w:rPr>
          <w:rFonts w:eastAsiaTheme="minorEastAsia"/>
          <w:lang w:val="en-GB"/>
        </w:rPr>
        <w:t xml:space="preserve"> the range below the OEL </w:t>
      </w:r>
      <w:r w:rsidR="0056544D" w:rsidRPr="4E52C179">
        <w:rPr>
          <w:rFonts w:eastAsiaTheme="minorEastAsia"/>
          <w:lang w:val="en-GB"/>
        </w:rPr>
        <w:t>(0.25 ppm</w:t>
      </w:r>
      <w:r w:rsidR="00857507">
        <w:rPr>
          <w:rFonts w:eastAsiaTheme="minorEastAsia"/>
          <w:lang w:val="en-GB"/>
        </w:rPr>
        <w:t>,</w:t>
      </w:r>
      <w:r w:rsidR="0056544D" w:rsidRPr="4E52C179">
        <w:rPr>
          <w:rFonts w:eastAsiaTheme="minorEastAsia"/>
          <w:lang w:val="en-GB"/>
        </w:rPr>
        <w:t xml:space="preserve"> 0.8 mg/m</w:t>
      </w:r>
      <w:r w:rsidR="0056544D" w:rsidRPr="4E52C179">
        <w:rPr>
          <w:rFonts w:eastAsiaTheme="minorEastAsia"/>
          <w:vertAlign w:val="superscript"/>
          <w:lang w:val="en-GB"/>
        </w:rPr>
        <w:t>3</w:t>
      </w:r>
      <w:r w:rsidR="0056544D" w:rsidRPr="4E52C179">
        <w:rPr>
          <w:rFonts w:eastAsiaTheme="minorEastAsia"/>
          <w:lang w:val="en-GB"/>
        </w:rPr>
        <w:t xml:space="preserve">) </w:t>
      </w:r>
      <w:r w:rsidR="003F1958" w:rsidRPr="4E52C179">
        <w:rPr>
          <w:rFonts w:eastAsiaTheme="minorEastAsia"/>
          <w:lang w:val="en-GB"/>
        </w:rPr>
        <w:t>where risk is assumed to be zero,</w:t>
      </w:r>
      <w:r w:rsidR="0056544D" w:rsidRPr="4E52C179">
        <w:rPr>
          <w:rFonts w:eastAsiaTheme="minorEastAsia"/>
          <w:lang w:val="en-GB"/>
        </w:rPr>
        <w:t xml:space="preserve"> the range between the OEL and LOAEC </w:t>
      </w:r>
      <w:r w:rsidR="510955D6" w:rsidRPr="1DFC466C">
        <w:rPr>
          <w:rFonts w:eastAsiaTheme="minorEastAsia"/>
          <w:lang w:val="en-GB"/>
        </w:rPr>
        <w:t xml:space="preserve">in </w:t>
      </w:r>
      <w:r w:rsidR="0056544D" w:rsidRPr="4E52C179">
        <w:rPr>
          <w:rFonts w:eastAsiaTheme="minorEastAsia"/>
          <w:lang w:val="en-GB"/>
        </w:rPr>
        <w:t xml:space="preserve">which </w:t>
      </w:r>
      <w:r w:rsidR="717B3D78" w:rsidRPr="1DFC466C">
        <w:rPr>
          <w:rFonts w:eastAsiaTheme="minorEastAsia"/>
          <w:lang w:val="en-GB"/>
        </w:rPr>
        <w:t xml:space="preserve">the slope </w:t>
      </w:r>
      <w:r w:rsidR="0056544D" w:rsidRPr="4E52C179">
        <w:rPr>
          <w:rFonts w:eastAsiaTheme="minorEastAsia"/>
          <w:lang w:val="en-GB"/>
        </w:rPr>
        <w:t>goes from zero to</w:t>
      </w:r>
      <w:r w:rsidR="00D832E1" w:rsidRPr="4E52C179">
        <w:rPr>
          <w:rFonts w:eastAsiaTheme="minorEastAsia"/>
          <w:lang w:val="en-GB"/>
        </w:rPr>
        <w:t xml:space="preserve"> an unmodified </w:t>
      </w:r>
      <w:r w:rsidR="20494CD9" w:rsidRPr="1DFC466C">
        <w:rPr>
          <w:rFonts w:eastAsiaTheme="minorEastAsia"/>
          <w:lang w:val="en-GB"/>
        </w:rPr>
        <w:t xml:space="preserve">value, </w:t>
      </w:r>
      <w:r w:rsidR="0056544D" w:rsidRPr="4E52C179">
        <w:rPr>
          <w:rFonts w:eastAsiaTheme="minorEastAsia"/>
          <w:lang w:val="en-GB"/>
        </w:rPr>
        <w:t xml:space="preserve"> and</w:t>
      </w:r>
      <w:r w:rsidR="003F1958" w:rsidRPr="4E52C179">
        <w:rPr>
          <w:rFonts w:eastAsiaTheme="minorEastAsia"/>
          <w:lang w:val="en-GB"/>
        </w:rPr>
        <w:t xml:space="preserve"> </w:t>
      </w:r>
      <w:r w:rsidR="241344A7" w:rsidRPr="1DFC466C">
        <w:rPr>
          <w:rFonts w:eastAsiaTheme="minorEastAsia"/>
          <w:lang w:val="en-GB"/>
        </w:rPr>
        <w:t xml:space="preserve">the </w:t>
      </w:r>
      <w:r w:rsidR="003F1958" w:rsidRPr="4E52C179">
        <w:rPr>
          <w:rFonts w:eastAsiaTheme="minorEastAsia"/>
          <w:lang w:val="en-GB"/>
        </w:rPr>
        <w:t xml:space="preserve">range above the LOAEC </w:t>
      </w:r>
      <w:r w:rsidR="0056544D" w:rsidRPr="4E52C179">
        <w:rPr>
          <w:rFonts w:eastAsiaTheme="minorEastAsia"/>
          <w:lang w:val="en-GB"/>
        </w:rPr>
        <w:t>(2 ppm</w:t>
      </w:r>
      <w:r w:rsidR="00857507">
        <w:rPr>
          <w:rFonts w:eastAsiaTheme="minorEastAsia"/>
          <w:lang w:val="en-GB"/>
        </w:rPr>
        <w:t>,</w:t>
      </w:r>
      <w:r w:rsidR="0056544D" w:rsidRPr="4E52C179">
        <w:rPr>
          <w:rFonts w:eastAsiaTheme="minorEastAsia"/>
          <w:lang w:val="en-GB"/>
        </w:rPr>
        <w:t xml:space="preserve"> 6.38 mg/m</w:t>
      </w:r>
      <w:r w:rsidR="0056544D" w:rsidRPr="4E52C179">
        <w:rPr>
          <w:rFonts w:eastAsiaTheme="minorEastAsia"/>
          <w:vertAlign w:val="superscript"/>
          <w:lang w:val="en-GB"/>
        </w:rPr>
        <w:t>3</w:t>
      </w:r>
      <w:r w:rsidR="0056544D" w:rsidRPr="4E52C179">
        <w:rPr>
          <w:rFonts w:eastAsiaTheme="minorEastAsia"/>
          <w:lang w:val="en-GB"/>
        </w:rPr>
        <w:t xml:space="preserve">) </w:t>
      </w:r>
      <w:r w:rsidR="4FE76153" w:rsidRPr="1DFC466C">
        <w:rPr>
          <w:rFonts w:eastAsiaTheme="minorEastAsia"/>
          <w:lang w:val="en-GB"/>
        </w:rPr>
        <w:t xml:space="preserve">in </w:t>
      </w:r>
      <w:r w:rsidR="003F1958" w:rsidRPr="4E52C179">
        <w:rPr>
          <w:rFonts w:eastAsiaTheme="minorEastAsia"/>
          <w:lang w:val="en-GB"/>
        </w:rPr>
        <w:t xml:space="preserve">which </w:t>
      </w:r>
      <w:r w:rsidR="0626E754" w:rsidRPr="1DFC466C">
        <w:rPr>
          <w:rFonts w:eastAsiaTheme="minorEastAsia"/>
          <w:lang w:val="en-GB"/>
        </w:rPr>
        <w:t xml:space="preserve">the slope is derived from </w:t>
      </w:r>
      <w:r w:rsidR="00424E9F" w:rsidRPr="4E52C179">
        <w:rPr>
          <w:rFonts w:eastAsiaTheme="minorEastAsia"/>
          <w:lang w:val="en-GB"/>
        </w:rPr>
        <w:t xml:space="preserve">the </w:t>
      </w:r>
      <w:r w:rsidR="00AA6B7E" w:rsidRPr="1DFC466C">
        <w:rPr>
          <w:rFonts w:eastAsiaTheme="minorEastAsia"/>
          <w:lang w:val="en-GB"/>
        </w:rPr>
        <w:t>LNT</w:t>
      </w:r>
      <w:r w:rsidR="00424E9F" w:rsidRPr="4E52C179">
        <w:rPr>
          <w:rFonts w:eastAsiaTheme="minorEastAsia"/>
          <w:lang w:val="en-GB"/>
        </w:rPr>
        <w:t xml:space="preserve"> model</w:t>
      </w:r>
      <w:r w:rsidR="0056544D" w:rsidRPr="4E52C179">
        <w:rPr>
          <w:rFonts w:eastAsiaTheme="minorEastAsia"/>
          <w:lang w:val="en-GB"/>
        </w:rPr>
        <w:t xml:space="preserve"> (</w:t>
      </w:r>
      <w:r w:rsidR="0056544D" w:rsidRPr="4E52C179">
        <w:rPr>
          <w:rFonts w:eastAsiaTheme="minorEastAsia"/>
          <w:lang w:val="en-GB"/>
        </w:rPr>
        <w:fldChar w:fldCharType="begin"/>
      </w:r>
      <w:r w:rsidR="0056544D" w:rsidRPr="4E52C179">
        <w:rPr>
          <w:rFonts w:eastAsiaTheme="minorEastAsia"/>
          <w:lang w:val="en-GB"/>
        </w:rPr>
        <w:instrText xml:space="preserve"> REF _Ref31803765 \h </w:instrText>
      </w:r>
      <w:r w:rsidR="0056544D" w:rsidRPr="4E52C179">
        <w:rPr>
          <w:rFonts w:eastAsiaTheme="minorEastAsia"/>
          <w:lang w:val="en-GB"/>
        </w:rPr>
      </w:r>
      <w:r w:rsidR="0056544D" w:rsidRPr="4E52C179">
        <w:rPr>
          <w:rFonts w:eastAsiaTheme="minorEastAsia"/>
          <w:lang w:val="en-GB"/>
        </w:rPr>
        <w:fldChar w:fldCharType="separate"/>
      </w:r>
      <w:r w:rsidR="00832F8A">
        <w:t xml:space="preserve">Equation </w:t>
      </w:r>
      <w:r w:rsidR="00832F8A">
        <w:rPr>
          <w:noProof/>
        </w:rPr>
        <w:t>1</w:t>
      </w:r>
      <w:r w:rsidR="0056544D" w:rsidRPr="4E52C179">
        <w:rPr>
          <w:rFonts w:eastAsiaTheme="minorEastAsia"/>
          <w:lang w:val="en-GB"/>
        </w:rPr>
        <w:fldChar w:fldCharType="end"/>
      </w:r>
      <w:r w:rsidR="0056544D" w:rsidRPr="4E52C179">
        <w:rPr>
          <w:rFonts w:eastAsiaTheme="minorEastAsia"/>
          <w:lang w:val="en-GB"/>
        </w:rPr>
        <w:t>).</w:t>
      </w:r>
      <w:r w:rsidR="003F1958" w:rsidRPr="4E52C179">
        <w:rPr>
          <w:rFonts w:eastAsiaTheme="minorEastAsia"/>
          <w:lang w:val="en-GB"/>
        </w:rPr>
        <w:t xml:space="preserve"> </w:t>
      </w:r>
    </w:p>
    <w:p w14:paraId="39C9E6D4" w14:textId="263A8A09" w:rsidR="0056544D" w:rsidRPr="0056544D" w:rsidRDefault="0056544D" w:rsidP="0056544D">
      <w:pPr>
        <w:pStyle w:val="Caption"/>
        <w:rPr>
          <w:rFonts w:eastAsiaTheme="minorEastAsia"/>
        </w:rPr>
      </w:pPr>
      <w:bookmarkStart w:id="11" w:name="_Ref31803765"/>
      <w:r>
        <w:t xml:space="preserve">Equation </w:t>
      </w:r>
      <w:r w:rsidR="002868D7">
        <w:rPr>
          <w:noProof/>
        </w:rPr>
        <w:fldChar w:fldCharType="begin"/>
      </w:r>
      <w:r w:rsidR="002868D7">
        <w:rPr>
          <w:noProof/>
        </w:rPr>
        <w:instrText xml:space="preserve"> SEQ Equation \* ARABIC </w:instrText>
      </w:r>
      <w:r w:rsidR="002868D7">
        <w:rPr>
          <w:noProof/>
        </w:rPr>
        <w:fldChar w:fldCharType="separate"/>
      </w:r>
      <w:r w:rsidR="00060087">
        <w:rPr>
          <w:noProof/>
        </w:rPr>
        <w:t>2</w:t>
      </w:r>
      <w:r w:rsidR="002868D7">
        <w:rPr>
          <w:noProof/>
        </w:rPr>
        <w:fldChar w:fldCharType="end"/>
      </w:r>
      <w:bookmarkEnd w:id="11"/>
      <m:oMath>
        <m:r>
          <w:rPr>
            <w:rFonts w:ascii="Cambria Math" w:hAnsi="Cambria Math"/>
          </w:rPr>
          <m:t>. Continously Decreasing Slope Model</m:t>
        </m:r>
      </m:oMath>
    </w:p>
    <w:p w14:paraId="70B9C10F" w14:textId="1B65046D" w:rsidR="001A1CDF" w:rsidRDefault="001A1CDF" w:rsidP="0056544D">
      <w:pPr>
        <w:pStyle w:val="Caption"/>
        <w:rPr>
          <w:rFonts w:eastAsiaTheme="minorEastAsia"/>
          <w:lang w:val="en-GB"/>
        </w:rPr>
      </w:pPr>
      <m:oMathPara>
        <m:oMath>
          <m:r>
            <w:rPr>
              <w:rFonts w:ascii="Cambria Math" w:hAnsi="Cambria Math"/>
              <w:lang w:val="en-GB"/>
            </w:rPr>
            <m:t>Risk</m:t>
          </m:r>
          <m:d>
            <m:dPr>
              <m:ctrlPr>
                <w:rPr>
                  <w:rFonts w:ascii="Cambria Math" w:hAnsi="Cambria Math"/>
                  <w:i w:val="0"/>
                  <w:lang w:val="en-GB"/>
                </w:rPr>
              </m:ctrlPr>
            </m:dPr>
            <m:e>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m:t>
          </m:r>
          <m:d>
            <m:dPr>
              <m:begChr m:val="{"/>
              <m:endChr m:val=""/>
              <m:ctrlPr>
                <w:rPr>
                  <w:rFonts w:ascii="Cambria Math" w:hAnsi="Cambria Math"/>
                  <w:i w:val="0"/>
                  <w:lang w:val="en-GB"/>
                </w:rPr>
              </m:ctrlPr>
            </m:dPr>
            <m:e>
              <m:eqArr>
                <m:eqArrPr>
                  <m:ctrlPr>
                    <w:rPr>
                      <w:rFonts w:ascii="Cambria Math" w:hAnsi="Cambria Math"/>
                      <w:i w:val="0"/>
                      <w:lang w:val="en-GB"/>
                    </w:rPr>
                  </m:ctrlPr>
                </m:eqArrPr>
                <m:e>
                  <m:r>
                    <w:rPr>
                      <w:rFonts w:ascii="Cambria Math" w:hAnsi="Cambria Math"/>
                      <w:lang w:val="en-GB"/>
                    </w:rPr>
                    <m:t xml:space="preserve"> </m:t>
                  </m:r>
                </m:e>
                <m:e/>
                <m:e>
                  <m:d>
                    <m:dPr>
                      <m:ctrlPr>
                        <w:rPr>
                          <w:rFonts w:ascii="Cambria Math" w:hAnsi="Cambria Math"/>
                          <w:iCs w:val="0"/>
                          <w:color w:val="auto"/>
                          <w:sz w:val="22"/>
                          <w:szCs w:val="22"/>
                          <w:lang w:val="en-GB"/>
                        </w:rPr>
                      </m:ctrlPr>
                    </m:dPr>
                    <m:e>
                      <m:r>
                        <w:rPr>
                          <w:rFonts w:ascii="Cambria Math" w:hAnsi="Cambria Math"/>
                          <w:lang w:val="en-GB"/>
                        </w:rPr>
                        <m:t>Slope for Modification Factor*</m:t>
                      </m:r>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r>
                        <w:rPr>
                          <w:rFonts w:ascii="Cambria Math" w:hAnsi="Cambria Math"/>
                          <w:lang w:val="en-GB"/>
                        </w:rPr>
                        <m:t>+y intercept</m:t>
                      </m:r>
                    </m:e>
                  </m:d>
                  <m:r>
                    <w:rPr>
                      <w:rFonts w:ascii="Cambria Math" w:hAnsi="Cambria Math"/>
                      <w:lang w:val="en-GB"/>
                    </w:rPr>
                    <m:t>×</m:t>
                  </m:r>
                  <m:f>
                    <m:fPr>
                      <m:ctrlPr>
                        <w:rPr>
                          <w:rFonts w:ascii="Cambria Math" w:hAnsi="Cambria Math"/>
                          <w:lang w:val="en-GB"/>
                        </w:rPr>
                      </m:ctrlPr>
                    </m:fPr>
                    <m:num>
                      <m:r>
                        <w:rPr>
                          <w:rFonts w:ascii="Cambria Math" w:hAnsi="Cambria Math"/>
                          <w:lang w:val="en-GB"/>
                        </w:rPr>
                        <m:t>0.01</m:t>
                      </m:r>
                    </m:num>
                    <m:den>
                      <m:r>
                        <w:rPr>
                          <w:rFonts w:ascii="Cambria Math" w:hAnsi="Cambria Math"/>
                          <w:lang w:val="en-GB"/>
                        </w:rPr>
                        <m:t>ED01</m:t>
                      </m:r>
                    </m:den>
                  </m:f>
                  <m:r>
                    <w:rPr>
                      <w:rFonts w:ascii="Cambria Math" w:hAnsi="Cambria Math"/>
                      <w:lang w:val="en-GB"/>
                    </w:rPr>
                    <m:t>×</m:t>
                  </m:r>
                  <m:d>
                    <m:dPr>
                      <m:ctrlPr>
                        <w:rPr>
                          <w:rFonts w:ascii="Cambria Math" w:hAnsi="Cambria Math"/>
                          <w:iCs w:val="0"/>
                          <w:color w:val="auto"/>
                          <w:sz w:val="22"/>
                          <w:szCs w:val="22"/>
                          <w:lang w:val="en-GB"/>
                        </w:rPr>
                      </m:ctrlPr>
                    </m:dPr>
                    <m:e>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r>
                        <w:rPr>
                          <w:rFonts w:ascii="Cambria Math" w:hAnsi="Cambria Math"/>
                          <w:lang w:val="en-GB"/>
                        </w:rPr>
                        <m:t>-0.8</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     </m:t>
                  </m:r>
                  <m:d>
                    <m:dPr>
                      <m:ctrlPr>
                        <w:rPr>
                          <w:rFonts w:ascii="Cambria Math" w:hAnsi="Cambria Math"/>
                          <w:i w:val="0"/>
                          <w:lang w:val="en-GB"/>
                        </w:rPr>
                      </m:ctrlPr>
                    </m:dPr>
                    <m:e>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&gt;0.8 </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 xml:space="preserve"> &lt;6.38 </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ctrlPr>
                    <w:rPr>
                      <w:rFonts w:ascii="Cambria Math" w:eastAsia="Cambria Math" w:hAnsi="Cambria Math" w:cs="Cambria Math"/>
                      <w:i w:val="0"/>
                      <w:lang w:val="en-GB"/>
                    </w:rPr>
                  </m:ctrlPr>
                </m:e>
                <m:e>
                  <m:r>
                    <w:rPr>
                      <w:rFonts w:ascii="Cambria Math" w:hAnsi="Cambria Math"/>
                      <w:lang w:val="en-GB"/>
                    </w:rPr>
                    <m:t xml:space="preserve"> </m:t>
                  </m:r>
                  <m:f>
                    <m:fPr>
                      <m:ctrlPr>
                        <w:rPr>
                          <w:rFonts w:ascii="Cambria Math" w:hAnsi="Cambria Math"/>
                          <w:i w:val="0"/>
                          <w:lang w:val="en-GB"/>
                        </w:rPr>
                      </m:ctrlPr>
                    </m:fPr>
                    <m:num>
                      <m:r>
                        <w:rPr>
                          <w:rFonts w:ascii="Cambria Math" w:hAnsi="Cambria Math"/>
                          <w:lang w:val="en-GB"/>
                        </w:rPr>
                        <m:t>0.01-Risk</m:t>
                      </m:r>
                      <m:d>
                        <m:dPr>
                          <m:ctrlPr>
                            <w:rPr>
                              <w:rFonts w:ascii="Cambria Math" w:hAnsi="Cambria Math"/>
                              <w:i w:val="0"/>
                              <w:lang w:val="en-GB"/>
                            </w:rPr>
                          </m:ctrlPr>
                        </m:dPr>
                        <m:e>
                          <m:r>
                            <w:rPr>
                              <w:rFonts w:ascii="Cambria Math" w:hAnsi="Cambria Math"/>
                              <w:lang w:val="en-GB"/>
                            </w:rPr>
                            <m:t>6.38</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e>
                      </m:d>
                    </m:num>
                    <m:den>
                      <m:r>
                        <w:rPr>
                          <w:rFonts w:ascii="Cambria Math" w:hAnsi="Cambria Math"/>
                          <w:lang w:val="en-GB"/>
                        </w:rPr>
                        <m:t>60</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r>
                        <w:rPr>
                          <w:rFonts w:ascii="Cambria Math" w:hAnsi="Cambria Math"/>
                          <w:lang w:val="en-GB"/>
                        </w:rPr>
                        <m:t>-6.38</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den>
                  </m:f>
                  <m:r>
                    <w:rPr>
                      <w:rFonts w:ascii="Cambria Math" w:hAnsi="Cambria Math"/>
                      <w:lang w:val="en-GB"/>
                    </w:rPr>
                    <m:t xml:space="preserve"> </m:t>
                  </m:r>
                  <m:d>
                    <m:dPr>
                      <m:ctrlPr>
                        <w:rPr>
                          <w:rFonts w:ascii="Cambria Math" w:hAnsi="Cambria Math"/>
                          <w:i w:val="0"/>
                          <w:lang w:val="en-GB"/>
                        </w:rPr>
                      </m:ctrlPr>
                    </m:dPr>
                    <m:e>
                      <m:d>
                        <m:dPr>
                          <m:ctrlPr>
                            <w:rPr>
                              <w:rFonts w:ascii="Cambria Math" w:hAnsi="Cambria Math"/>
                              <w:i w:val="0"/>
                              <w:lang w:val="en-GB"/>
                            </w:rPr>
                          </m:ctrlPr>
                        </m:dPr>
                        <m:e>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-6.38 </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e>
                  </m:d>
                  <m:r>
                    <w:rPr>
                      <w:rFonts w:ascii="Cambria Math" w:hAnsi="Cambria Math"/>
                      <w:lang w:val="en-GB"/>
                    </w:rPr>
                    <m:t xml:space="preserve">   ,     </m:t>
                  </m:r>
                  <m:d>
                    <m:dPr>
                      <m:ctrlPr>
                        <w:rPr>
                          <w:rFonts w:ascii="Cambria Math" w:hAnsi="Cambria Math"/>
                          <w:i w:val="0"/>
                          <w:lang w:val="en-GB"/>
                        </w:rPr>
                      </m:ctrlPr>
                    </m:dPr>
                    <m:e>
                      <m:sSub>
                        <m:sSubPr>
                          <m:ctrlPr>
                            <w:rPr>
                              <w:rFonts w:ascii="Cambria Math" w:hAnsi="Cambria Math"/>
                              <w:i w:val="0"/>
                              <w:lang w:val="en-GB"/>
                            </w:rPr>
                          </m:ctrlPr>
                        </m:sSubPr>
                        <m:e>
                          <m:r>
                            <w:rPr>
                              <w:rFonts w:ascii="Cambria Math" w:hAnsi="Cambria Math"/>
                              <w:lang w:val="en-GB"/>
                            </w:rPr>
                            <m:t>c</m:t>
                          </m:r>
                        </m:e>
                        <m:sub>
                          <m:r>
                            <w:rPr>
                              <w:rFonts w:ascii="Cambria Math" w:hAnsi="Cambria Math"/>
                              <w:lang w:val="en-GB"/>
                            </w:rPr>
                            <m:t>Benzene</m:t>
                          </m:r>
                        </m:sub>
                      </m:sSub>
                    </m:e>
                  </m:d>
                  <m:r>
                    <w:rPr>
                      <w:rFonts w:ascii="Cambria Math" w:hAnsi="Cambria Math"/>
                      <w:lang w:val="en-GB"/>
                    </w:rPr>
                    <m:t xml:space="preserve">≥6.38 </m:t>
                  </m:r>
                  <m:f>
                    <m:fPr>
                      <m:ctrlPr>
                        <w:rPr>
                          <w:rFonts w:ascii="Cambria Math" w:hAnsi="Cambria Math"/>
                          <w:i w:val="0"/>
                          <w:lang w:val="en-GB"/>
                        </w:rPr>
                      </m:ctrlPr>
                    </m:fPr>
                    <m:num>
                      <m:r>
                        <w:rPr>
                          <w:rFonts w:ascii="Cambria Math" w:hAnsi="Cambria Math"/>
                          <w:lang w:val="en-GB"/>
                        </w:rPr>
                        <m:t>mg</m:t>
                      </m:r>
                    </m:num>
                    <m:den>
                      <m:sSup>
                        <m:sSupPr>
                          <m:ctrlPr>
                            <w:rPr>
                              <w:rFonts w:ascii="Cambria Math" w:hAnsi="Cambria Math"/>
                              <w:i w:val="0"/>
                              <w:lang w:val="en-GB"/>
                            </w:rPr>
                          </m:ctrlPr>
                        </m:sSupPr>
                        <m:e>
                          <m:r>
                            <w:rPr>
                              <w:rFonts w:ascii="Cambria Math" w:hAnsi="Cambria Math"/>
                              <w:lang w:val="en-GB"/>
                            </w:rPr>
                            <m:t>m</m:t>
                          </m:r>
                        </m:e>
                        <m:sup>
                          <m:r>
                            <w:rPr>
                              <w:rFonts w:ascii="Cambria Math" w:hAnsi="Cambria Math"/>
                              <w:lang w:val="en-GB"/>
                            </w:rPr>
                            <m:t>3</m:t>
                          </m:r>
                        </m:sup>
                      </m:sSup>
                    </m:den>
                  </m:f>
                  <m:ctrlPr>
                    <w:rPr>
                      <w:rFonts w:ascii="Cambria Math" w:eastAsia="Cambria Math" w:hAnsi="Cambria Math" w:cs="Cambria Math"/>
                      <w:i w:val="0"/>
                      <w:lang w:val="en-GB"/>
                    </w:rPr>
                  </m:ctrlPr>
                </m:e>
                <m:e>
                  <m:ctrlPr>
                    <w:rPr>
                      <w:rFonts w:ascii="Cambria Math" w:eastAsia="Cambria Math" w:hAnsi="Cambria Math" w:cs="Cambria Math"/>
                      <w:i w:val="0"/>
                      <w:lang w:val="en-GB"/>
                    </w:rPr>
                  </m:ctrlPr>
                </m:e>
                <m:e>
                  <m:r>
                    <w:rPr>
                      <w:rFonts w:ascii="Cambria Math" w:hAnsi="Cambria Math"/>
                      <w:lang w:val="en-GB"/>
                    </w:rPr>
                    <m:t xml:space="preserve">                                                                                                                             </m:t>
                  </m:r>
                  <m:ctrlPr>
                    <w:rPr>
                      <w:rFonts w:ascii="Cambria Math" w:eastAsia="Cambria Math" w:hAnsi="Cambria Math" w:cs="Cambria Math"/>
                      <w:i w:val="0"/>
                      <w:lang w:val="en-GB"/>
                    </w:rPr>
                  </m:ctrlPr>
                </m:e>
                <m:e>
                  <m:r>
                    <w:rPr>
                      <w:rFonts w:ascii="Cambria Math" w:hAnsi="Cambria Math"/>
                      <w:lang w:val="en-GB"/>
                    </w:rPr>
                    <m:t>0  ,                                                                                                                                                                else</m:t>
                  </m:r>
                </m:e>
              </m:eqArr>
            </m:e>
          </m:d>
        </m:oMath>
      </m:oMathPara>
    </w:p>
    <w:p w14:paraId="2FFAB98F" w14:textId="77777777" w:rsidR="001A1CDF" w:rsidRPr="00CD48FA" w:rsidRDefault="001A1CDF" w:rsidP="001177B7">
      <w:pPr>
        <w:rPr>
          <w:rFonts w:eastAsiaTheme="minorEastAsia"/>
          <w:lang w:val="en-GB"/>
        </w:rPr>
      </w:pPr>
    </w:p>
    <w:p w14:paraId="3571E1DA" w14:textId="51C0735F" w:rsidR="009B6A87" w:rsidRPr="008B6F21" w:rsidRDefault="009B6A87" w:rsidP="009B6A87">
      <w:pPr>
        <w:rPr>
          <w:lang w:val="en-GB"/>
        </w:rPr>
      </w:pPr>
      <w:commentRangeStart w:id="12"/>
      <w:commentRangeEnd w:id="12"/>
    </w:p>
    <w:p w14:paraId="3C4F73E0" w14:textId="77777777" w:rsidR="009B6A87" w:rsidRPr="008B6F21" w:rsidRDefault="009B6A87" w:rsidP="009B6A87">
      <w:pPr>
        <w:rPr>
          <w:lang w:val="en-GB"/>
        </w:rPr>
      </w:pPr>
    </w:p>
    <w:p w14:paraId="5EB5BBAA" w14:textId="2D4589CE" w:rsidR="001177B7" w:rsidRPr="008B6F21" w:rsidRDefault="00334936" w:rsidP="00334936">
      <w:pPr>
        <w:pStyle w:val="Heading2"/>
        <w:rPr>
          <w:lang w:val="en-GB"/>
        </w:rPr>
      </w:pPr>
      <w:r w:rsidRPr="536C86A4">
        <w:rPr>
          <w:lang w:val="en-GB"/>
        </w:rPr>
        <w:t>Calculation of a</w:t>
      </w:r>
      <w:r w:rsidR="479AF242" w:rsidRPr="536C86A4">
        <w:rPr>
          <w:lang w:val="en-GB"/>
        </w:rPr>
        <w:t xml:space="preserve"> Point of Departure (</w:t>
      </w:r>
      <w:r w:rsidRPr="536C86A4">
        <w:rPr>
          <w:lang w:val="en-GB"/>
        </w:rPr>
        <w:t>ED</w:t>
      </w:r>
      <w:r w:rsidR="6D3C8527" w:rsidRPr="536C86A4">
        <w:rPr>
          <w:lang w:val="en-GB"/>
        </w:rPr>
        <w:t>01</w:t>
      </w:r>
      <w:r w:rsidRPr="536C86A4">
        <w:rPr>
          <w:lang w:val="en-GB"/>
        </w:rPr>
        <w:t xml:space="preserve"> Value</w:t>
      </w:r>
      <w:r w:rsidR="308B46F6" w:rsidRPr="536C86A4">
        <w:rPr>
          <w:lang w:val="en-GB"/>
        </w:rPr>
        <w:t>)</w:t>
      </w:r>
    </w:p>
    <w:p w14:paraId="2A3C503D" w14:textId="4F949D68" w:rsidR="6F628D19" w:rsidRDefault="6F628D19" w:rsidP="003E1538">
      <w:pPr>
        <w:rPr>
          <w:lang w:val="en-GB"/>
        </w:rPr>
      </w:pPr>
    </w:p>
    <w:p w14:paraId="7B690DEA" w14:textId="0BA0FADE" w:rsidR="143C006D" w:rsidRDefault="143C006D" w:rsidP="6F628D19">
      <w:pPr>
        <w:rPr>
          <w:lang w:val="en-GB"/>
        </w:rPr>
      </w:pPr>
      <w:r w:rsidRPr="536C86A4">
        <w:rPr>
          <w:lang w:val="en-GB"/>
        </w:rPr>
        <w:t xml:space="preserve">The starting point for determination of the </w:t>
      </w:r>
      <w:r w:rsidR="5A31BCC3" w:rsidRPr="536C86A4">
        <w:rPr>
          <w:lang w:val="en-GB"/>
        </w:rPr>
        <w:t xml:space="preserve">point of departure was the </w:t>
      </w:r>
      <w:r w:rsidR="00224020">
        <w:rPr>
          <w:lang w:val="en-GB"/>
        </w:rPr>
        <w:t xml:space="preserve">AGS </w:t>
      </w:r>
      <w:r w:rsidR="00224020">
        <w:rPr>
          <w:lang w:val="en-GB"/>
        </w:rPr>
        <w:fldChar w:fldCharType="begin"/>
      </w:r>
      <w:r w:rsidR="004C6879">
        <w:rPr>
          <w:lang w:val="en-GB"/>
        </w:rPr>
        <w:instrText xml:space="preserve"> ADDIN EN.CITE &lt;EndNote&gt;&lt;Cite ExcludeAuth="1"&gt;&lt;Author&gt;AGS&lt;/Author&gt;&lt;Year&gt;2012&lt;/Year&gt;&lt;RecNum&gt;1092&lt;/RecNum&gt;&lt;DisplayText&gt;(2012)&lt;/DisplayText&gt;&lt;record&gt;&lt;rec-number&gt;1092&lt;/rec-number&gt;&lt;foreign-keys&gt;&lt;key app="EN" db-id="0d0929f959rse9ex25rp09za5avf0ept9spf" timestamp="1580849538"&gt;1092&lt;/key&gt;&lt;/foreign-keys&gt;&lt;ref-type name="Government Document"&gt;46&lt;/ref-type&gt;&lt;contributors&gt;&lt;authors&gt;&lt;author&gt;AGS&lt;/author&gt;&lt;/authors&gt;&lt;/contributors&gt;&lt;titles&gt;&lt;title&gt;Begründung zu Benzol in BekGS&lt;/title&gt;&lt;/titles&gt;&lt;dates&gt;&lt;year&gt;2012&lt;/year&gt;&lt;/dates&gt;&lt;isbn&gt;910&lt;/isbn&gt;&lt;urls&gt;&lt;related-urls&gt;&lt;url&gt;https://www.baua.de/DE/Angebote/Rechtstexte-und-Technische-Regeln/Regelwerk/TRGS/pdf/910/910-benzol.pdf?__blob=publicationFile&amp;amp;v=2&lt;/url&gt;&lt;/related-urls&gt;&lt;/urls&gt;&lt;custom1&gt;Bundesanstalt fur Arbeitsschutz und Arbeitsmedizin&lt;/custom1&gt;&lt;/record&gt;&lt;/Cite&gt;&lt;/EndNote&gt;</w:instrText>
      </w:r>
      <w:r w:rsidR="00224020">
        <w:rPr>
          <w:lang w:val="en-GB"/>
        </w:rPr>
        <w:fldChar w:fldCharType="separate"/>
      </w:r>
      <w:r w:rsidR="00224020">
        <w:rPr>
          <w:noProof/>
          <w:lang w:val="en-GB"/>
        </w:rPr>
        <w:t>(</w:t>
      </w:r>
      <w:hyperlink w:anchor="_ENREF_3" w:tooltip="AGS, 2012 #1092" w:history="1">
        <w:r w:rsidR="004C59A6">
          <w:rPr>
            <w:noProof/>
            <w:lang w:val="en-GB"/>
          </w:rPr>
          <w:t>2012</w:t>
        </w:r>
      </w:hyperlink>
      <w:r w:rsidR="00224020">
        <w:rPr>
          <w:noProof/>
          <w:lang w:val="en-GB"/>
        </w:rPr>
        <w:t>)</w:t>
      </w:r>
      <w:r w:rsidR="00224020">
        <w:rPr>
          <w:lang w:val="en-GB"/>
        </w:rPr>
        <w:fldChar w:fldCharType="end"/>
      </w:r>
      <w:r w:rsidR="5A31BCC3" w:rsidRPr="536C86A4">
        <w:rPr>
          <w:lang w:val="en-GB"/>
        </w:rPr>
        <w:t xml:space="preserve"> report, </w:t>
      </w:r>
      <w:r w:rsidR="3B3B38FF" w:rsidRPr="536C86A4">
        <w:rPr>
          <w:lang w:val="en-GB"/>
        </w:rPr>
        <w:t xml:space="preserve">in </w:t>
      </w:r>
      <w:r w:rsidR="5A31BCC3" w:rsidRPr="536C86A4">
        <w:rPr>
          <w:lang w:val="en-GB"/>
        </w:rPr>
        <w:t xml:space="preserve">which </w:t>
      </w:r>
      <w:r w:rsidR="0156F40D" w:rsidRPr="536C86A4">
        <w:rPr>
          <w:lang w:val="en-GB"/>
        </w:rPr>
        <w:t>an ED10</w:t>
      </w:r>
      <w:r w:rsidR="4EF1F854" w:rsidRPr="536C86A4">
        <w:rPr>
          <w:lang w:val="en-GB"/>
        </w:rPr>
        <w:t xml:space="preserve"> was calculated </w:t>
      </w:r>
      <w:r w:rsidR="090B9600" w:rsidRPr="536C86A4">
        <w:rPr>
          <w:lang w:val="en-GB"/>
        </w:rPr>
        <w:t xml:space="preserve">for total </w:t>
      </w:r>
      <w:r w:rsidR="00242AF3">
        <w:rPr>
          <w:lang w:val="en-GB"/>
        </w:rPr>
        <w:t>leukaemia</w:t>
      </w:r>
      <w:r w:rsidR="090B9600" w:rsidRPr="536C86A4">
        <w:rPr>
          <w:lang w:val="en-GB"/>
        </w:rPr>
        <w:t xml:space="preserve">. The </w:t>
      </w:r>
      <w:r w:rsidR="00224020">
        <w:rPr>
          <w:lang w:val="en-GB"/>
        </w:rPr>
        <w:t>AGS</w:t>
      </w:r>
      <w:r w:rsidR="090B9600" w:rsidRPr="536C86A4">
        <w:rPr>
          <w:lang w:val="en-GB"/>
        </w:rPr>
        <w:t xml:space="preserve"> analysis</w:t>
      </w:r>
      <w:r w:rsidR="767C4054" w:rsidRPr="536C86A4">
        <w:rPr>
          <w:lang w:val="en-GB"/>
        </w:rPr>
        <w:t xml:space="preserve">, in turn, </w:t>
      </w:r>
      <w:r w:rsidR="090B9600" w:rsidRPr="536C86A4">
        <w:rPr>
          <w:lang w:val="en-GB"/>
        </w:rPr>
        <w:t xml:space="preserve">was based on initial calculations from </w:t>
      </w:r>
      <w:hyperlink w:anchor="_ENREF_28" w:tooltip="Roller, 2006 #1198" w:history="1">
        <w:r w:rsidR="004C59A6">
          <w:rPr>
            <w:lang w:val="en-GB"/>
          </w:rPr>
          <w:fldChar w:fldCharType="begin"/>
        </w:r>
        <w:r w:rsidR="004C59A6">
          <w:rPr>
            <w:lang w:val="en-GB"/>
          </w:rPr>
          <w:instrText xml:space="preserve"> ADDIN EN.CITE &lt;EndNote&gt;&lt;Cite AuthorYear="1"&gt;&lt;Author&gt;Roller&lt;/Author&gt;&lt;Year&gt;2006&lt;/Year&gt;&lt;RecNum&gt;1198&lt;/RecNum&gt;&lt;DisplayText&gt;Roller et al. (2006)&lt;/DisplayText&gt;&lt;record&gt;&lt;rec-number&gt;1198&lt;/rec-number&gt;&lt;foreign-keys&gt;&lt;key app="EN" db-id="0d0929f959rse9ex25rp09za5avf0ept9spf" timestamp="1592571715"&gt;1198&lt;/key&gt;&lt;/foreign-keys&gt;&lt;ref-type name="Book"&gt;6&lt;/ref-type&gt;&lt;contributors&gt;&lt;authors&gt;&lt;author&gt;Roller, Markus&lt;/author&gt;&lt;author&gt;Akkan, Z&lt;/author&gt;&lt;author&gt;Hassauer, M&lt;/author&gt;&lt;author&gt;Kalberlah, F&lt;/author&gt;&lt;/authors&gt;&lt;/contributors&gt;&lt;titles&gt;&lt;title&gt;Risikoextrapolation vom Versuchstier auf den Menschen bei Kanzerogenen&lt;/title&gt;&lt;/titles&gt;&lt;dates&gt;&lt;year&gt;2006&lt;/year&gt;&lt;/dates&gt;&lt;publisher&gt;Wirtschaftsverl. NW., Verlag für Neue Wiss.&lt;/publisher&gt;&lt;isbn&gt;3865095607&lt;/isbn&gt;&lt;urls&gt;&lt;/urls&gt;&lt;/record&gt;&lt;/Cite&gt;&lt;/EndNote&gt;</w:instrText>
        </w:r>
        <w:r w:rsidR="004C59A6">
          <w:rPr>
            <w:lang w:val="en-GB"/>
          </w:rPr>
          <w:fldChar w:fldCharType="separate"/>
        </w:r>
        <w:r w:rsidR="004C59A6">
          <w:rPr>
            <w:noProof/>
            <w:lang w:val="en-GB"/>
          </w:rPr>
          <w:t>Roller et al. (2006)</w:t>
        </w:r>
        <w:r w:rsidR="004C59A6">
          <w:rPr>
            <w:lang w:val="en-GB"/>
          </w:rPr>
          <w:fldChar w:fldCharType="end"/>
        </w:r>
      </w:hyperlink>
      <w:r w:rsidR="00A706DA" w:rsidRPr="536C86A4">
        <w:rPr>
          <w:lang w:val="en-GB"/>
        </w:rPr>
        <w:t xml:space="preserve"> who considered benzene as one example for POD calculations </w:t>
      </w:r>
      <w:r w:rsidR="61D972D2" w:rsidRPr="536C86A4">
        <w:rPr>
          <w:lang w:val="en-GB"/>
        </w:rPr>
        <w:t xml:space="preserve">derived </w:t>
      </w:r>
      <w:r w:rsidR="00A706DA" w:rsidRPr="536C86A4">
        <w:rPr>
          <w:lang w:val="en-GB"/>
        </w:rPr>
        <w:t xml:space="preserve">from </w:t>
      </w:r>
      <w:r w:rsidR="3BA592B6" w:rsidRPr="536C86A4">
        <w:rPr>
          <w:lang w:val="en-GB"/>
        </w:rPr>
        <w:t xml:space="preserve">both </w:t>
      </w:r>
      <w:r w:rsidR="00A706DA" w:rsidRPr="536C86A4">
        <w:rPr>
          <w:lang w:val="en-GB"/>
        </w:rPr>
        <w:t xml:space="preserve">human and animal studies for several substances. </w:t>
      </w:r>
      <w:r w:rsidR="0160B1F7" w:rsidRPr="536C86A4">
        <w:rPr>
          <w:lang w:val="en-GB"/>
        </w:rPr>
        <w:t xml:space="preserve"> </w:t>
      </w:r>
      <w:hyperlink w:anchor="_ENREF_28" w:tooltip="Roller, 2006 #1198" w:history="1">
        <w:r w:rsidR="004C59A6">
          <w:rPr>
            <w:lang w:val="en-GB"/>
          </w:rPr>
          <w:fldChar w:fldCharType="begin"/>
        </w:r>
        <w:r w:rsidR="004C59A6">
          <w:rPr>
            <w:lang w:val="en-GB"/>
          </w:rPr>
          <w:instrText xml:space="preserve"> ADDIN EN.CITE &lt;EndNote&gt;&lt;Cite AuthorYear="1"&gt;&lt;Author&gt;Roller&lt;/Author&gt;&lt;Year&gt;2006&lt;/Year&gt;&lt;RecNum&gt;1198&lt;/RecNum&gt;&lt;DisplayText&gt;Roller et al. (2006)&lt;/DisplayText&gt;&lt;record&gt;&lt;rec-number&gt;1198&lt;/rec-number&gt;&lt;foreign-keys&gt;&lt;key app="EN" db-id="0d0929f959rse9ex25rp09za5avf0ept9spf" timestamp="1592571715"&gt;1198&lt;/key&gt;&lt;/foreign-keys&gt;&lt;ref-type name="Book"&gt;6&lt;/ref-type&gt;&lt;contributors&gt;&lt;authors&gt;&lt;author&gt;Roller, Markus&lt;/author&gt;&lt;author&gt;Akkan, Z&lt;/author&gt;&lt;author&gt;Hassauer, M&lt;/author&gt;&lt;author&gt;Kalberlah, F&lt;/author&gt;&lt;/authors&gt;&lt;/contributors&gt;&lt;titles&gt;&lt;title&gt;Risikoextrapolation vom Versuchstier auf den Menschen bei Kanzerogenen&lt;/title&gt;&lt;/titles&gt;&lt;dates&gt;&lt;year&gt;2006&lt;/year&gt;&lt;/dates&gt;&lt;publisher&gt;Wirtschaftsverl. NW., Verlag für Neue Wiss.&lt;/publisher&gt;&lt;isbn&gt;3865095607&lt;/isbn&gt;&lt;urls&gt;&lt;/urls&gt;&lt;/record&gt;&lt;/Cite&gt;&lt;/EndNote&gt;</w:instrText>
        </w:r>
        <w:r w:rsidR="004C59A6">
          <w:rPr>
            <w:lang w:val="en-GB"/>
          </w:rPr>
          <w:fldChar w:fldCharType="separate"/>
        </w:r>
        <w:r w:rsidR="004C59A6">
          <w:rPr>
            <w:noProof/>
            <w:lang w:val="en-GB"/>
          </w:rPr>
          <w:t>Roller et al. (2006)</w:t>
        </w:r>
        <w:r w:rsidR="004C59A6">
          <w:rPr>
            <w:lang w:val="en-GB"/>
          </w:rPr>
          <w:fldChar w:fldCharType="end"/>
        </w:r>
      </w:hyperlink>
      <w:r w:rsidR="0160B1F7" w:rsidRPr="536C86A4">
        <w:rPr>
          <w:lang w:val="en-GB"/>
        </w:rPr>
        <w:t xml:space="preserve"> used the ED10 for human studies to </w:t>
      </w:r>
      <w:r w:rsidR="5D821098" w:rsidRPr="536C86A4">
        <w:rPr>
          <w:lang w:val="en-GB"/>
        </w:rPr>
        <w:t xml:space="preserve">be able to </w:t>
      </w:r>
      <w:r w:rsidR="2940D022" w:rsidRPr="536C86A4">
        <w:rPr>
          <w:lang w:val="en-GB"/>
        </w:rPr>
        <w:t xml:space="preserve">directly </w:t>
      </w:r>
      <w:r w:rsidR="0160B1F7" w:rsidRPr="536C86A4">
        <w:rPr>
          <w:lang w:val="en-GB"/>
        </w:rPr>
        <w:t xml:space="preserve">compare </w:t>
      </w:r>
      <w:r w:rsidR="541EA5AB" w:rsidRPr="536C86A4">
        <w:rPr>
          <w:lang w:val="en-GB"/>
        </w:rPr>
        <w:t xml:space="preserve">results with the animal data-derived ED10. However, Roller pointed out that use of the ED10 in human studies can require “upward extrapolation” when the background risk </w:t>
      </w:r>
      <w:r w:rsidR="28CF659E" w:rsidRPr="536C86A4">
        <w:rPr>
          <w:lang w:val="en-GB"/>
        </w:rPr>
        <w:t xml:space="preserve">is 1% or less, which is true for </w:t>
      </w:r>
      <w:r w:rsidR="6577416E" w:rsidRPr="536C86A4">
        <w:rPr>
          <w:lang w:val="en-GB"/>
        </w:rPr>
        <w:t xml:space="preserve">both </w:t>
      </w:r>
      <w:r w:rsidR="28CF659E" w:rsidRPr="536C86A4">
        <w:rPr>
          <w:lang w:val="en-GB"/>
        </w:rPr>
        <w:t xml:space="preserve">total leukaemia and AML. </w:t>
      </w:r>
      <w:r w:rsidR="63CF6519" w:rsidRPr="536C86A4">
        <w:rPr>
          <w:lang w:val="en-GB"/>
        </w:rPr>
        <w:t xml:space="preserve"> We chose to use the ED01 as the point of departure owing to the low backgr</w:t>
      </w:r>
      <w:r w:rsidR="4E335AD7" w:rsidRPr="536C86A4">
        <w:rPr>
          <w:lang w:val="en-GB"/>
        </w:rPr>
        <w:t>o</w:t>
      </w:r>
      <w:r w:rsidR="63CF6519" w:rsidRPr="536C86A4">
        <w:rPr>
          <w:lang w:val="en-GB"/>
        </w:rPr>
        <w:t>und risk of AML and the fact that an excess risk of 1% is</w:t>
      </w:r>
      <w:r w:rsidR="5AE918CB" w:rsidRPr="536C86A4">
        <w:rPr>
          <w:lang w:val="en-GB"/>
        </w:rPr>
        <w:t xml:space="preserve"> </w:t>
      </w:r>
      <w:r w:rsidR="3FD0831A" w:rsidRPr="536C86A4">
        <w:rPr>
          <w:lang w:val="en-GB"/>
        </w:rPr>
        <w:t xml:space="preserve">usually </w:t>
      </w:r>
      <w:r w:rsidR="5AE918CB" w:rsidRPr="536C86A4">
        <w:rPr>
          <w:lang w:val="en-GB"/>
        </w:rPr>
        <w:t xml:space="preserve">readily observable </w:t>
      </w:r>
      <w:r w:rsidR="22356489" w:rsidRPr="536C86A4">
        <w:rPr>
          <w:lang w:val="en-GB"/>
        </w:rPr>
        <w:t xml:space="preserve">as a positive finding outside of chance variation </w:t>
      </w:r>
      <w:r w:rsidR="000D0FF4" w:rsidRPr="536C86A4">
        <w:rPr>
          <w:lang w:val="en-GB"/>
        </w:rPr>
        <w:t>in most cancer epidemiologic studies</w:t>
      </w:r>
      <w:r w:rsidR="00FC3075">
        <w:rPr>
          <w:lang w:val="en-GB"/>
        </w:rPr>
        <w:t xml:space="preserve"> of suitable size</w:t>
      </w:r>
      <w:r w:rsidR="7CC5B479" w:rsidRPr="536C86A4">
        <w:rPr>
          <w:lang w:val="en-GB"/>
        </w:rPr>
        <w:t xml:space="preserve"> </w:t>
      </w:r>
      <w:r w:rsidR="00224020">
        <w:rPr>
          <w:lang w:val="en-GB"/>
        </w:rPr>
        <w:fldChar w:fldCharType="begin"/>
      </w:r>
      <w:r w:rsidR="00224020">
        <w:rPr>
          <w:lang w:val="en-GB"/>
        </w:rPr>
        <w:instrText xml:space="preserve"> ADDIN EN.CITE &lt;EndNote&gt;&lt;Cite&gt;&lt;Author&gt;United States Environmental Protection Agency&lt;/Author&gt;&lt;Year&gt;2005&lt;/Year&gt;&lt;RecNum&gt;1199&lt;/RecNum&gt;&lt;DisplayText&gt;(United States Environmental Protection Agency, 2005)&lt;/DisplayText&gt;&lt;record&gt;&lt;rec-number&gt;1199&lt;/rec-number&gt;&lt;foreign-keys&gt;&lt;key app="EN" db-id="0d0929f959rse9ex25rp09za5avf0ept9spf" timestamp="1592858654"&gt;1199&lt;/key&gt;&lt;/foreign-keys&gt;&lt;ref-type name="Government Document"&gt;46&lt;/ref-type&gt;&lt;contributors&gt;&lt;authors&gt;&lt;author&gt;United States Environmental Protection Agency,&lt;/author&gt;&lt;/authors&gt;&lt;/contributors&gt;&lt;titles&gt;&lt;title&gt;Guidelines for Carcinogen Risk Assessment&lt;/title&gt;&lt;/titles&gt;&lt;dates&gt;&lt;year&gt;2005&lt;/year&gt;&lt;/dates&gt;&lt;isbn&gt;EPA/630/P-03/001F&lt;/isbn&gt;&lt;urls&gt;&lt;related-urls&gt;&lt;url&gt;https://www.epa.gov/sites/production/files/2013-09/documents/cancer_guidelines_final_3-25-05.pdf&lt;/url&gt;&lt;/related-urls&gt;&lt;/urls&gt;&lt;/record&gt;&lt;/Cite&gt;&lt;/EndNote&gt;</w:instrText>
      </w:r>
      <w:r w:rsidR="00224020">
        <w:rPr>
          <w:lang w:val="en-GB"/>
        </w:rPr>
        <w:fldChar w:fldCharType="separate"/>
      </w:r>
      <w:r w:rsidR="00224020">
        <w:rPr>
          <w:noProof/>
          <w:lang w:val="en-GB"/>
        </w:rPr>
        <w:t>(</w:t>
      </w:r>
      <w:hyperlink w:anchor="_ENREF_38" w:tooltip="United States Environmental Protection Agency, 2005 #1199" w:history="1">
        <w:r w:rsidR="004C59A6">
          <w:rPr>
            <w:noProof/>
            <w:lang w:val="en-GB"/>
          </w:rPr>
          <w:t>United States Environmental Protection Agency, 2005</w:t>
        </w:r>
      </w:hyperlink>
      <w:r w:rsidR="00224020">
        <w:rPr>
          <w:noProof/>
          <w:lang w:val="en-GB"/>
        </w:rPr>
        <w:t>)</w:t>
      </w:r>
      <w:r w:rsidR="00224020">
        <w:rPr>
          <w:lang w:val="en-GB"/>
        </w:rPr>
        <w:fldChar w:fldCharType="end"/>
      </w:r>
      <w:r w:rsidR="7CC5B479" w:rsidRPr="536C86A4">
        <w:rPr>
          <w:lang w:val="en-GB"/>
        </w:rPr>
        <w:t xml:space="preserve">. </w:t>
      </w:r>
    </w:p>
    <w:p w14:paraId="0F499BAB" w14:textId="7CACF8C3" w:rsidR="00334936" w:rsidRPr="00CD48FA" w:rsidRDefault="2FFC2AC7" w:rsidP="6F628D19">
      <w:pPr>
        <w:rPr>
          <w:lang w:val="en-GB"/>
        </w:rPr>
      </w:pPr>
      <w:r w:rsidRPr="536C86A4">
        <w:rPr>
          <w:lang w:val="en-GB"/>
        </w:rPr>
        <w:t xml:space="preserve">In Table 11 of their report, AGS used the following studies in their ED10 calculation: </w:t>
      </w:r>
      <w:r w:rsidR="2077C692" w:rsidRPr="536C86A4">
        <w:rPr>
          <w:lang w:val="en-GB"/>
        </w:rPr>
        <w:t xml:space="preserve">1) the </w:t>
      </w:r>
      <w:r w:rsidR="00FC3075">
        <w:rPr>
          <w:lang w:val="en-GB"/>
        </w:rPr>
        <w:t>Pliofilm</w:t>
      </w:r>
      <w:r w:rsidR="2077C692" w:rsidRPr="536C86A4">
        <w:rPr>
          <w:lang w:val="en-GB"/>
        </w:rPr>
        <w:t xml:space="preserve"> study (four different </w:t>
      </w:r>
      <w:r w:rsidR="00FC3075">
        <w:rPr>
          <w:lang w:val="en-GB"/>
        </w:rPr>
        <w:t xml:space="preserve">sets of </w:t>
      </w:r>
      <w:r w:rsidR="2077C692" w:rsidRPr="536C86A4">
        <w:rPr>
          <w:lang w:val="en-GB"/>
        </w:rPr>
        <w:t>authors), 2)</w:t>
      </w:r>
      <w:r w:rsidR="0F682C01" w:rsidRPr="536C86A4">
        <w:rPr>
          <w:lang w:val="en-GB"/>
        </w:rPr>
        <w:t xml:space="preserve"> an Italian shoe fact</w:t>
      </w:r>
      <w:r w:rsidR="750E8450" w:rsidRPr="536C86A4">
        <w:rPr>
          <w:lang w:val="en-GB"/>
        </w:rPr>
        <w:t>o</w:t>
      </w:r>
      <w:r w:rsidR="0F682C01" w:rsidRPr="536C86A4">
        <w:rPr>
          <w:lang w:val="en-GB"/>
        </w:rPr>
        <w:t xml:space="preserve">ry </w:t>
      </w:r>
      <w:r w:rsidR="007E3C6F">
        <w:rPr>
          <w:lang w:val="en-GB"/>
        </w:rPr>
        <w:t xml:space="preserve">by </w:t>
      </w:r>
      <w:hyperlink w:anchor="_ENREF_35" w:tooltip="Seniori Costantini, 2003 #683" w:history="1">
        <w:r w:rsidR="004C59A6">
          <w:rPr>
            <w:lang w:val="en-GB"/>
          </w:rPr>
          <w:fldChar w:fldCharType="begin"/>
        </w:r>
        <w:r w:rsidR="004C59A6">
          <w:rPr>
            <w:lang w:val="en-GB"/>
          </w:rPr>
          <w:instrText xml:space="preserve"> ADDIN EN.CITE &lt;EndNote&gt;&lt;Cite AuthorYear="1"&gt;&lt;Author&gt;Seniori Costantini&lt;/Author&gt;&lt;Year&gt;2003&lt;/Year&gt;&lt;RecNum&gt;683&lt;/RecNum&gt;&lt;DisplayText&gt;Seniori Costantini et al. (2003)&lt;/DisplayText&gt;&lt;record&gt;&lt;rec-number&gt;683&lt;/rec-number&gt;&lt;foreign-keys&gt;&lt;key app="EN" db-id="0d0929f959rse9ex25rp09za5avf0ept9spf" timestamp="1501534247"&gt;683&lt;/key&gt;&lt;/foreign-keys&gt;&lt;ref-type name="Journal Article"&gt;17&lt;/ref-type&gt;&lt;contributors&gt;&lt;authors&gt;&lt;author&gt;Seniori Costantini, Adele&lt;/author&gt;&lt;author&gt;Quinn, Margaret&lt;/author&gt;&lt;author&gt;Consonni, Dario&lt;/author&gt;&lt;author&gt;Zappa, Marco&lt;/author&gt;&lt;/authors&gt;&lt;/contributors&gt;&lt;titles&gt;&lt;title&gt;Exposure to benzene and risk of leukemia among shoe factory workers&lt;/title&gt;&lt;secondary-title&gt;Scandinavian journal of work, environment &amp;amp; health&lt;/secondary-title&gt;&lt;/titles&gt;&lt;periodical&gt;&lt;full-title&gt;Scandinavian journal of work, environment &amp;amp; health&lt;/full-title&gt;&lt;/periodical&gt;&lt;pages&gt;51-59&lt;/pages&gt;&lt;dates&gt;&lt;year&gt;2003&lt;/year&gt;&lt;/dates&gt;&lt;isbn&gt;0355-3140&lt;/isbn&gt;&lt;urls&gt;&lt;/urls&gt;&lt;/record&gt;&lt;/Cite&gt;&lt;/EndNote&gt;</w:instrText>
        </w:r>
        <w:r w:rsidR="004C59A6">
          <w:rPr>
            <w:lang w:val="en-GB"/>
          </w:rPr>
          <w:fldChar w:fldCharType="separate"/>
        </w:r>
        <w:r w:rsidR="004C59A6">
          <w:rPr>
            <w:noProof/>
            <w:lang w:val="en-GB"/>
          </w:rPr>
          <w:t>Seniori Costantini et al. (2003)</w:t>
        </w:r>
        <w:r w:rsidR="004C59A6">
          <w:rPr>
            <w:lang w:val="en-GB"/>
          </w:rPr>
          <w:fldChar w:fldCharType="end"/>
        </w:r>
      </w:hyperlink>
      <w:r w:rsidR="0F682C01" w:rsidRPr="536C86A4">
        <w:rPr>
          <w:lang w:val="en-GB"/>
        </w:rPr>
        <w:t xml:space="preserve">, 3) chemical </w:t>
      </w:r>
      <w:r w:rsidR="43B27CB0" w:rsidRPr="536C86A4">
        <w:rPr>
          <w:lang w:val="en-GB"/>
        </w:rPr>
        <w:t xml:space="preserve">workers in China </w:t>
      </w:r>
      <w:r w:rsidR="007E3C6F">
        <w:rPr>
          <w:lang w:val="en-GB"/>
        </w:rPr>
        <w:t xml:space="preserve">by </w:t>
      </w:r>
      <w:hyperlink w:anchor="_ENREF_17" w:tooltip="Hayes, 1997 #613" w:history="1">
        <w:r w:rsidR="004C59A6">
          <w:rPr>
            <w:lang w:val="en-GB"/>
          </w:rPr>
          <w:fldChar w:fldCharType="begin"/>
        </w:r>
        <w:r w:rsidR="004C59A6">
          <w:rPr>
            <w:lang w:val="en-GB"/>
          </w:rPr>
          <w:instrText xml:space="preserve"> ADDIN EN.CITE &lt;EndNote&gt;&lt;Cite AuthorYear="1"&gt;&lt;Author&gt;Hayes&lt;/Author&gt;&lt;Year&gt;1997&lt;/Year&gt;&lt;RecNum&gt;613&lt;/RecNum&gt;&lt;DisplayText&gt;Hayes et al. (1997)&lt;/DisplayText&gt;&lt;record&gt;&lt;rec-number&gt;613&lt;/rec-number&gt;&lt;foreign-keys&gt;&lt;key app="EN" db-id="0d0929f959rse9ex25rp09za5avf0ept9spf" timestamp="1500405265"&gt;613&lt;/key&gt;&lt;/foreign-keys&gt;&lt;ref-type name="Journal Article"&gt;17&lt;/ref-type&gt;&lt;contributors&gt;&lt;authors&gt;&lt;author&gt;Hayes, Richard B&lt;/author&gt;&lt;author&gt;Dosemeci, Mustafa&lt;/author&gt;&lt;author&gt;Wacholder, Sholom&lt;/author&gt;&lt;author&gt;Travis, Lois B&lt;/author&gt;&lt;author&gt;Rothman, Nathaniel&lt;/author&gt;&lt;author&gt;Hoover, Robert N&lt;/author&gt;&lt;author&gt;Linet, Martha S&lt;/author&gt;&lt;author&gt;Yin, Song-Nian&lt;/author&gt;&lt;author&gt;Li, Gui-Lan&lt;/author&gt;&lt;author&gt;Li, Chin-Yang&lt;/author&gt;&lt;/authors&gt;&lt;/contributors&gt;&lt;titles&gt;&lt;title&gt;Benzene and the dose-related incidence of hematologic neoplasms in China&lt;/title&gt;&lt;secondary-title&gt;Journal of the National Cancer Institute&lt;/secondary-title&gt;&lt;/titles&gt;&lt;periodical&gt;&lt;full-title&gt;J Natl Cancer Inst&lt;/full-title&gt;&lt;abbr-1&gt;Journal of the National Cancer Institute&lt;/abbr-1&gt;&lt;/periodical&gt;&lt;pages&gt;1065-1071&lt;/pages&gt;&lt;volume&gt;89&lt;/volume&gt;&lt;number&gt;14&lt;/number&gt;&lt;dates&gt;&lt;year&gt;1997&lt;/year&gt;&lt;/dates&gt;&lt;isbn&gt;1460-2105&lt;/isbn&gt;&lt;urls&gt;&lt;/urls&gt;&lt;/record&gt;&lt;/Cite&gt;&lt;/EndNote&gt;</w:instrText>
        </w:r>
        <w:r w:rsidR="004C59A6">
          <w:rPr>
            <w:lang w:val="en-GB"/>
          </w:rPr>
          <w:fldChar w:fldCharType="separate"/>
        </w:r>
        <w:r w:rsidR="004C59A6">
          <w:rPr>
            <w:noProof/>
            <w:lang w:val="en-GB"/>
          </w:rPr>
          <w:t>Hayes et al. (1997)</w:t>
        </w:r>
        <w:r w:rsidR="004C59A6">
          <w:rPr>
            <w:lang w:val="en-GB"/>
          </w:rPr>
          <w:fldChar w:fldCharType="end"/>
        </w:r>
      </w:hyperlink>
      <w:r w:rsidR="11D371CB" w:rsidRPr="536C86A4">
        <w:rPr>
          <w:lang w:val="en-GB"/>
        </w:rPr>
        <w:t>, 4</w:t>
      </w:r>
      <w:r w:rsidR="6772C980" w:rsidRPr="536C86A4">
        <w:rPr>
          <w:lang w:val="en-GB"/>
        </w:rPr>
        <w:t>-5</w:t>
      </w:r>
      <w:r w:rsidR="11D371CB" w:rsidRPr="536C86A4">
        <w:rPr>
          <w:lang w:val="en-GB"/>
        </w:rPr>
        <w:t xml:space="preserve">) </w:t>
      </w:r>
      <w:r w:rsidR="3F2DA443" w:rsidRPr="536C86A4">
        <w:rPr>
          <w:lang w:val="en-GB"/>
        </w:rPr>
        <w:t xml:space="preserve">chemical workers in the US </w:t>
      </w:r>
      <w:r w:rsidR="00197AEB">
        <w:rPr>
          <w:lang w:val="en-GB"/>
        </w:rPr>
        <w:t xml:space="preserve">by </w:t>
      </w:r>
      <w:hyperlink w:anchor="_ENREF_5" w:tooltip="Bloemen, 2004 #1019" w:history="1">
        <w:r w:rsidR="004C59A6">
          <w:rPr>
            <w:lang w:val="en-GB"/>
          </w:rPr>
          <w:fldChar w:fldCharType="begin"/>
        </w:r>
        <w:r w:rsidR="004C59A6">
          <w:rPr>
            <w:lang w:val="en-GB"/>
          </w:rPr>
          <w:instrText xml:space="preserve"> ADDIN EN.CITE &lt;EndNote&gt;&lt;Cite AuthorYear="1"&gt;&lt;Author&gt;Bloemen&lt;/Author&gt;&lt;Year&gt;2004&lt;/Year&gt;&lt;RecNum&gt;1019&lt;/RecNum&gt;&lt;DisplayText&gt;Bloemen et al. (2004)&lt;/DisplayText&gt;&lt;record&gt;&lt;rec-number&gt;1019&lt;/rec-number&gt;&lt;foreign-keys&gt;&lt;key app="EN" db-id="0d0929f959rse9ex25rp09za5avf0ept9spf" timestamp="1564105169"&gt;1019&lt;/key&gt;&lt;/foreign-keys&gt;&lt;ref-type name="Journal Article"&gt;17&lt;/ref-type&gt;&lt;contributors&gt;&lt;authors&gt;&lt;author&gt;Bloemen, L J&lt;/author&gt;&lt;author&gt;Youk, A&lt;/author&gt;&lt;author&gt;Bradley, T D&lt;/author&gt;&lt;author&gt;Bodner, K M&lt;/author&gt;&lt;author&gt;Marsh, G&lt;/author&gt;&lt;/authors&gt;&lt;/contributors&gt;&lt;titles&gt;&lt;title&gt;Lymphohaematopoietic cancer risk among chemical workers exposed to benzene&lt;/title&gt;&lt;secondary-title&gt;Occupational and Environmental Medicine&lt;/secondary-title&gt;&lt;/titles&gt;&lt;periodical&gt;&lt;full-title&gt;Occupational and Environmental Medicine&lt;/full-title&gt;&lt;/periodical&gt;&lt;pages&gt;270-274&lt;/pages&gt;&lt;volume&gt;61&lt;/volume&gt;&lt;number&gt;3&lt;/number&gt;&lt;dates&gt;&lt;year&gt;2004&lt;/year&gt;&lt;/dates&gt;&lt;urls&gt;&lt;related-urls&gt;&lt;url&gt;https://oem.bmj.com/content/oemed/61/3/270.full.pdf&lt;/url&gt;&lt;/related-urls&gt;&lt;/urls&gt;&lt;electronic-resource-num&gt;10.1136/oem.2003.007013&lt;/electronic-resource-num&gt;&lt;/record&gt;&lt;/Cite&gt;&lt;/EndNote&gt;</w:instrText>
        </w:r>
        <w:r w:rsidR="004C59A6">
          <w:rPr>
            <w:lang w:val="en-GB"/>
          </w:rPr>
          <w:fldChar w:fldCharType="separate"/>
        </w:r>
        <w:r w:rsidR="004C59A6">
          <w:rPr>
            <w:noProof/>
            <w:lang w:val="en-GB"/>
          </w:rPr>
          <w:t>Bloemen et al. (2004)</w:t>
        </w:r>
        <w:r w:rsidR="004C59A6">
          <w:rPr>
            <w:lang w:val="en-GB"/>
          </w:rPr>
          <w:fldChar w:fldCharType="end"/>
        </w:r>
      </w:hyperlink>
      <w:r w:rsidR="00197AEB">
        <w:rPr>
          <w:lang w:val="en-GB"/>
        </w:rPr>
        <w:t xml:space="preserve"> and </w:t>
      </w:r>
      <w:hyperlink w:anchor="_ENREF_41" w:tooltip="Wong, 1987 #1020" w:history="1">
        <w:r w:rsidR="004C59A6">
          <w:rPr>
            <w:lang w:val="en-GB"/>
          </w:rPr>
          <w:fldChar w:fldCharType="begin"/>
        </w:r>
        <w:r w:rsidR="004C59A6">
          <w:rPr>
            <w:lang w:val="en-GB"/>
          </w:rPr>
          <w:instrText xml:space="preserve"> ADDIN EN.CITE &lt;EndNote&gt;&lt;Cite AuthorYear="1"&gt;&lt;Author&gt;Wong&lt;/Author&gt;&lt;Year&gt;1987&lt;/Year&gt;&lt;RecNum&gt;1020&lt;/RecNum&gt;&lt;DisplayText&gt;Wong (1987a)&lt;/DisplayText&gt;&lt;record&gt;&lt;rec-number&gt;1020&lt;/rec-number&gt;&lt;foreign-keys&gt;&lt;key app="EN" db-id="0d0929f959rse9ex25rp09za5avf0ept9spf" timestamp="1564161344"&gt;1020&lt;/key&gt;&lt;/foreign-keys&gt;&lt;ref-type name="Journal Article"&gt;17&lt;/ref-type&gt;&lt;contributors&gt;&lt;authors&gt;&lt;author&gt;Wong, O&lt;/author&gt;&lt;/authors&gt;&lt;/contributors&gt;&lt;titles&gt;&lt;title&gt;An industry wide mortality study of chemical workers occupationally exposed to benzene. I. General results&lt;/title&gt;&lt;secondary-title&gt;British Journal of Industrial Medicine&lt;/secondary-title&gt;&lt;/titles&gt;&lt;periodical&gt;&lt;full-title&gt;British Journal of Industrial Medicine&lt;/full-title&gt;&lt;/periodical&gt;&lt;pages&gt;365-381&lt;/pages&gt;&lt;volume&gt;44&lt;/volume&gt;&lt;number&gt;6&lt;/number&gt;&lt;dates&gt;&lt;year&gt;1987&lt;/year&gt;&lt;/dates&gt;&lt;urls&gt;&lt;related-urls&gt;&lt;url&gt;https://oem.bmj.com/content/oemed/44/6/365.full.pdf&lt;/url&gt;&lt;/related-urls&gt;&lt;/urls&gt;&lt;electronic-resource-num&gt;10.1136/oem.44.6.365&lt;/electronic-resource-num&gt;&lt;/record&gt;&lt;/Cite&gt;&lt;/EndNote&gt;</w:instrText>
        </w:r>
        <w:r w:rsidR="004C59A6">
          <w:rPr>
            <w:lang w:val="en-GB"/>
          </w:rPr>
          <w:fldChar w:fldCharType="separate"/>
        </w:r>
        <w:r w:rsidR="004C59A6">
          <w:rPr>
            <w:noProof/>
            <w:lang w:val="en-GB"/>
          </w:rPr>
          <w:t>Wong (1987a)</w:t>
        </w:r>
        <w:r w:rsidR="004C59A6">
          <w:rPr>
            <w:lang w:val="en-GB"/>
          </w:rPr>
          <w:fldChar w:fldCharType="end"/>
        </w:r>
      </w:hyperlink>
      <w:r w:rsidR="00197AEB">
        <w:rPr>
          <w:lang w:val="en-GB"/>
        </w:rPr>
        <w:t xml:space="preserve">, </w:t>
      </w:r>
      <w:r w:rsidR="0D6BB8ED" w:rsidRPr="536C86A4">
        <w:rPr>
          <w:lang w:val="en-GB"/>
        </w:rPr>
        <w:t>6)</w:t>
      </w:r>
      <w:r w:rsidR="02DAC859" w:rsidRPr="536C86A4">
        <w:rPr>
          <w:lang w:val="en-GB"/>
        </w:rPr>
        <w:t xml:space="preserve"> utility workers in France </w:t>
      </w:r>
      <w:r w:rsidR="002F3AE2">
        <w:rPr>
          <w:lang w:val="en-GB"/>
        </w:rPr>
        <w:t xml:space="preserve">by </w:t>
      </w:r>
      <w:hyperlink w:anchor="_ENREF_16" w:tooltip="Guénel, 2002 #1012" w:history="1">
        <w:r w:rsidR="004C59A6">
          <w:rPr>
            <w:lang w:val="en-GB"/>
          </w:rPr>
          <w:fldChar w:fldCharType="begin"/>
        </w:r>
        <w:r w:rsidR="004C59A6">
          <w:rPr>
            <w:lang w:val="en-GB"/>
          </w:rPr>
          <w:instrText xml:space="preserve"> ADDIN EN.CITE &lt;EndNote&gt;&lt;Cite AuthorYear="1"&gt;&lt;Author&gt;Guénel&lt;/Author&gt;&lt;Year&gt;2002&lt;/Year&gt;&lt;RecNum&gt;1012&lt;/RecNum&gt;&lt;DisplayText&gt;Guénel et al. (2002)&lt;/DisplayText&gt;&lt;record&gt;&lt;rec-number&gt;1012&lt;/rec-number&gt;&lt;foreign-keys&gt;&lt;key app="EN" db-id="0d0929f959rse9ex25rp09za5avf0ept9spf" timestamp="1564064233"&gt;1012&lt;/key&gt;&lt;/foreign-keys&gt;&lt;ref-type name="Journal Article"&gt;17&lt;/ref-type&gt;&lt;contributors&gt;&lt;authors&gt;&lt;author&gt;Guénel, Pascal&lt;/author&gt;&lt;author&gt;Imbernon, Ellen&lt;/author&gt;&lt;author&gt;Chevalier, Anne&lt;/author&gt;&lt;author&gt;Crinquand‐Calastreng, Anne&lt;/author&gt;&lt;author&gt;Goldberg, Marcel&lt;/author&gt;&lt;/authors&gt;&lt;/contributors&gt;&lt;titles&gt;&lt;title&gt;Leukemia in relation to occupational exposures to benzene and other agents: A case‐control study nested in a cohort of gas and electric utility workers&lt;/title&gt;&lt;secondary-title&gt;American journal of industrial medicine&lt;/secondary-title&gt;&lt;/titles&gt;&lt;periodical&gt;&lt;full-title&gt;American Journal of Industrial Medicine&lt;/full-title&gt;&lt;/periodical&gt;&lt;pages&gt;87-97&lt;/pages&gt;&lt;volume&gt;42&lt;/volume&gt;&lt;number&gt;2&lt;/number&gt;&lt;dates&gt;&lt;year&gt;2002&lt;/year&gt;&lt;/dates&gt;&lt;isbn&gt;0271-3586&lt;/isbn&gt;&lt;urls&gt;&lt;/urls&gt;&lt;/record&gt;&lt;/Cite&gt;&lt;/EndNote&gt;</w:instrText>
        </w:r>
        <w:r w:rsidR="004C59A6">
          <w:rPr>
            <w:lang w:val="en-GB"/>
          </w:rPr>
          <w:fldChar w:fldCharType="separate"/>
        </w:r>
        <w:r w:rsidR="004C59A6">
          <w:rPr>
            <w:noProof/>
            <w:lang w:val="en-GB"/>
          </w:rPr>
          <w:t>Guénel et al. (2002)</w:t>
        </w:r>
        <w:r w:rsidR="004C59A6">
          <w:rPr>
            <w:lang w:val="en-GB"/>
          </w:rPr>
          <w:fldChar w:fldCharType="end"/>
        </w:r>
      </w:hyperlink>
      <w:r w:rsidR="02DAC859" w:rsidRPr="536C86A4">
        <w:rPr>
          <w:lang w:val="en-GB"/>
        </w:rPr>
        <w:t xml:space="preserve">, </w:t>
      </w:r>
      <w:r w:rsidR="04231F06" w:rsidRPr="536C86A4">
        <w:rPr>
          <w:lang w:val="en-GB"/>
        </w:rPr>
        <w:t>and 7) oil indus</w:t>
      </w:r>
      <w:r w:rsidR="41AC7F2C" w:rsidRPr="536C86A4">
        <w:rPr>
          <w:lang w:val="en-GB"/>
        </w:rPr>
        <w:t>t</w:t>
      </w:r>
      <w:r w:rsidR="04231F06" w:rsidRPr="536C86A4">
        <w:rPr>
          <w:lang w:val="en-GB"/>
        </w:rPr>
        <w:t>ry workers in Australia</w:t>
      </w:r>
      <w:r w:rsidR="00197AEB">
        <w:rPr>
          <w:lang w:val="en-GB"/>
        </w:rPr>
        <w:t xml:space="preserve"> by </w:t>
      </w:r>
      <w:hyperlink w:anchor="_ENREF_15" w:tooltip="Glass, 2003 #158" w:history="1">
        <w:r w:rsidR="004C59A6">
          <w:rPr>
            <w:lang w:val="en-GB"/>
          </w:rPr>
          <w:fldChar w:fldCharType="begin"/>
        </w:r>
        <w:r w:rsidR="004C59A6">
          <w:rPr>
            <w:lang w:val="en-GB"/>
          </w:rPr>
          <w:instrText xml:space="preserve"> ADDIN EN.CITE &lt;EndNote&gt;&lt;Cite AuthorYear="1"&gt;&lt;Author&gt;Glass&lt;/Author&gt;&lt;Year&gt;2003&lt;/Year&gt;&lt;RecNum&gt;158&lt;/RecNum&gt;&lt;DisplayText&gt;Glass et al. (2003)&lt;/DisplayText&gt;&lt;record&gt;&lt;rec-number&gt;158&lt;/rec-number&gt;&lt;foreign-keys&gt;&lt;key app="EN" db-id="0d0929f959rse9ex25rp09za5avf0ept9spf" timestamp="1476386386"&gt;158&lt;/key&gt;&lt;/foreign-keys&gt;&lt;ref-type name="Journal Article"&gt;17&lt;/ref-type&gt;&lt;contributors&gt;&lt;authors&gt;&lt;author&gt;Glass, Deborah C.&lt;/author&gt;&lt;author&gt;Gray, Christopher N.&lt;/author&gt;&lt;author&gt;Jolley, Damien J.&lt;/author&gt;&lt;author&gt;Gibbons, Carl&lt;/author&gt;&lt;author&gt;Sim, Malcolm R.&lt;/author&gt;&lt;author&gt;Fritschi, Lin&lt;/author&gt;&lt;author&gt;Adams, Geoffrey G.&lt;/author&gt;&lt;author&gt;Bisby, John A.&lt;/author&gt;&lt;author&gt;Manuell, Richard&lt;/author&gt;&lt;/authors&gt;&lt;/contributors&gt;&lt;titles&gt;&lt;title&gt;Leukemia Risk Associated With Low-Level Benzene Exposure&lt;/title&gt;&lt;secondary-title&gt;Epidemiology&lt;/secondary-title&gt;&lt;/titles&gt;&lt;periodical&gt;&lt;full-title&gt;Epidemiology&lt;/full-title&gt;&lt;/periodical&gt;&lt;pages&gt;569-577&lt;/pages&gt;&lt;volume&gt;14&lt;/volume&gt;&lt;number&gt;5&lt;/number&gt;&lt;keywords&gt;&lt;keyword&gt;benzene&lt;/keyword&gt;&lt;keyword&gt;occupational exposure&lt;/keyword&gt;&lt;keyword&gt;leukemia&lt;/keyword&gt;&lt;keyword&gt;lymphoma&lt;/keyword&gt;&lt;keyword&gt;multiple myeloma&lt;/keyword&gt;&lt;keyword&gt;petroleum industry&lt;/keyword&gt;&lt;/keywords&gt;&lt;dates&gt;&lt;year&gt;2003&lt;/year&gt;&lt;/dates&gt;&lt;isbn&gt;1044-3983&lt;/isbn&gt;&lt;accession-num&gt;00001648-200309000-00011&lt;/accession-num&gt;&lt;urls&gt;&lt;related-urls&gt;&lt;url&gt;http://journals.lww.com/epidem/Fulltext/2003/09000/Leukemia_Risk_Associated_With_Low_Level_Benzene.11.aspx&lt;/url&gt;&lt;/related-urls&gt;&lt;/urls&gt;&lt;electronic-resource-num&gt;10.1097/01.ede.0000082001.05563.e0&lt;/electronic-resource-num&gt;&lt;/record&gt;&lt;/Cite&gt;&lt;/EndNote&gt;</w:instrText>
        </w:r>
        <w:r w:rsidR="004C59A6">
          <w:rPr>
            <w:lang w:val="en-GB"/>
          </w:rPr>
          <w:fldChar w:fldCharType="separate"/>
        </w:r>
        <w:r w:rsidR="004C59A6">
          <w:rPr>
            <w:noProof/>
            <w:lang w:val="en-GB"/>
          </w:rPr>
          <w:t>Glass et al. (2003)</w:t>
        </w:r>
        <w:r w:rsidR="004C59A6">
          <w:rPr>
            <w:lang w:val="en-GB"/>
          </w:rPr>
          <w:fldChar w:fldCharType="end"/>
        </w:r>
      </w:hyperlink>
      <w:r w:rsidR="04231F06" w:rsidRPr="536C86A4">
        <w:rPr>
          <w:lang w:val="en-GB"/>
        </w:rPr>
        <w:t xml:space="preserve"> </w:t>
      </w:r>
      <w:r w:rsidR="00197AEB">
        <w:rPr>
          <w:lang w:val="en-GB"/>
        </w:rPr>
        <w:t>and</w:t>
      </w:r>
      <w:r w:rsidR="002F3AE2">
        <w:rPr>
          <w:noProof/>
          <w:lang w:val="en-GB"/>
        </w:rPr>
        <w:t xml:space="preserve"> </w:t>
      </w:r>
      <w:hyperlink w:anchor="_ENREF_14" w:tooltip="Glass, 2005 #982" w:history="1">
        <w:r w:rsidR="004C59A6">
          <w:rPr>
            <w:noProof/>
            <w:lang w:val="en-GB"/>
          </w:rPr>
          <w:fldChar w:fldCharType="begin"/>
        </w:r>
        <w:r w:rsidR="004C59A6">
          <w:rPr>
            <w:noProof/>
            <w:lang w:val="en-GB"/>
          </w:rPr>
          <w:instrText xml:space="preserve"> ADDIN EN.CITE &lt;EndNote&gt;&lt;Cite AuthorYear="1"&gt;&lt;Author&gt;Glass&lt;/Author&gt;&lt;Year&gt;2005&lt;/Year&gt;&lt;RecNum&gt;982&lt;/RecNum&gt;&lt;DisplayText&gt;Glass et al. (2005)&lt;/DisplayText&gt;&lt;record&gt;&lt;rec-number&gt;982&lt;/rec-number&gt;&lt;foreign-keys&gt;&lt;key app="EN" db-id="0d0929f959rse9ex25rp09za5avf0ept9spf" timestamp="1557923637"&gt;982&lt;/key&gt;&lt;/foreign-keys&gt;&lt;ref-type name="Journal Article"&gt;17&lt;/ref-type&gt;&lt;contributors&gt;&lt;authors&gt;&lt;author&gt;Glass, D. C.&lt;/author&gt;&lt;author&gt;Gray, C. N.&lt;/author&gt;&lt;author&gt;Jolley, D. J.&lt;/author&gt;&lt;author&gt;Gibbons, C.&lt;/author&gt;&lt;author&gt;Sim, M. R.&lt;/author&gt;&lt;/authors&gt;&lt;/contributors&gt;&lt;titles&gt;&lt;title&gt;Health Watch exposure estimates: Do they underestimate benzene exposure?&lt;/title&gt;&lt;secondary-title&gt;Chemico-Biological Interactions&lt;/secondary-title&gt;&lt;/titles&gt;&lt;periodical&gt;&lt;full-title&gt;Chem Biol Interact&lt;/full-title&gt;&lt;abbr-1&gt;Chemico-biological interactions&lt;/abbr-1&gt;&lt;/periodical&gt;&lt;pages&gt;23-32&lt;/pages&gt;&lt;volume&gt;153-154&lt;/volume&gt;&lt;keywords&gt;&lt;keyword&gt;Benzene&lt;/keyword&gt;&lt;keyword&gt;Leukemia&lt;/keyword&gt;&lt;keyword&gt;Exposure&lt;/keyword&gt;&lt;keyword&gt;Petroleum industry&lt;/keyword&gt;&lt;/keywords&gt;&lt;dates&gt;&lt;year&gt;2005&lt;/year&gt;&lt;pub-dates&gt;&lt;date&gt;2005/05/30/&lt;/date&gt;&lt;/pub-dates&gt;&lt;/dates&gt;&lt;isbn&gt;0009-2797&lt;/isbn&gt;&lt;urls&gt;&lt;related-urls&gt;&lt;url&gt;http://www.sciencedirect.com/science/article/pii/S0009279705000669&lt;/url&gt;&lt;/related-urls&gt;&lt;/urls&gt;&lt;electronic-resource-num&gt;https://doi.org/10.1016/j.cbi.2005.03.006&lt;/electronic-resource-num&gt;&lt;/record&gt;&lt;/Cite&gt;&lt;/EndNote&gt;</w:instrText>
        </w:r>
        <w:r w:rsidR="004C59A6">
          <w:rPr>
            <w:noProof/>
            <w:lang w:val="en-GB"/>
          </w:rPr>
          <w:fldChar w:fldCharType="separate"/>
        </w:r>
        <w:r w:rsidR="004C59A6">
          <w:rPr>
            <w:noProof/>
            <w:lang w:val="en-GB"/>
          </w:rPr>
          <w:t>Glass et al. (2005)</w:t>
        </w:r>
        <w:r w:rsidR="004C59A6">
          <w:rPr>
            <w:noProof/>
            <w:lang w:val="en-GB"/>
          </w:rPr>
          <w:fldChar w:fldCharType="end"/>
        </w:r>
      </w:hyperlink>
      <w:r w:rsidR="04231F06" w:rsidRPr="536C86A4">
        <w:rPr>
          <w:lang w:val="en-GB"/>
        </w:rPr>
        <w:t>.</w:t>
      </w:r>
      <w:r w:rsidR="6202AE31" w:rsidRPr="536C86A4">
        <w:rPr>
          <w:lang w:val="en-GB"/>
        </w:rPr>
        <w:t xml:space="preserve"> </w:t>
      </w:r>
      <w:r w:rsidR="0BD6389E" w:rsidRPr="536C86A4">
        <w:rPr>
          <w:lang w:val="en-GB"/>
        </w:rPr>
        <w:t xml:space="preserve">We selected these studies, while searching for updates of each study and also considering subsequent study quality guidelines </w:t>
      </w:r>
      <w:r w:rsidR="00224020">
        <w:rPr>
          <w:lang w:val="en-GB"/>
        </w:rPr>
        <w:fldChar w:fldCharType="begin"/>
      </w:r>
      <w:r w:rsidR="00224020">
        <w:rPr>
          <w:lang w:val="en-GB"/>
        </w:rPr>
        <w:instrText xml:space="preserve"> ADDIN EN.CITE &lt;EndNote&gt;&lt;Cite&gt;&lt;Author&gt;Vlaanderen&lt;/Author&gt;&lt;Year&gt;2008&lt;/Year&gt;&lt;RecNum&gt;852&lt;/RecNum&gt;&lt;DisplayText&gt;(Vlaanderen et al., 2008)&lt;/DisplayText&gt;&lt;record&gt;&lt;rec-number&gt;852&lt;/rec-number&gt;&lt;foreign-keys&gt;&lt;key app="EN" db-id="0d0929f959rse9ex25rp09za5avf0ept9spf" timestamp="1515097734"&gt;852&lt;/key&gt;&lt;/foreign-keys&gt;&lt;ref-type name="Journal Article"&gt;17&lt;/ref-type&gt;&lt;contributors&gt;&lt;authors&gt;&lt;author&gt;Vlaanderen, Jelle&lt;/author&gt;&lt;author&gt;Vermeulen, Roel&lt;/author&gt;&lt;author&gt;Heederik, Dick&lt;/author&gt;&lt;author&gt;Kromhout, Hans&lt;/author&gt;&lt;author&gt;European Union Network of Excellence, Ecnis Integrated Risk Assessment Group&lt;/author&gt;&lt;/authors&gt;&lt;/contributors&gt;&lt;titles&gt;&lt;title&gt;Guidelines to Evaluate Human Observational Studies for Quantitative Risk Assessment&lt;/title&gt;&lt;secondary-title&gt;Environmental Health Perspectives&lt;/secondary-title&gt;&lt;/titles&gt;&lt;periodical&gt;&lt;full-title&gt;Environmental Health Perspectives&lt;/full-title&gt;&lt;/periodical&gt;&lt;pages&gt;1700-1705&lt;/pages&gt;&lt;volume&gt;116&lt;/volume&gt;&lt;number&gt;12&lt;/number&gt;&lt;dates&gt;&lt;year&gt;2008&lt;/year&gt;&lt;pub-dates&gt;&lt;date&gt;08/12&amp;#xD;04/02/received&amp;#xD;08/12/accepted&lt;/date&gt;&lt;/pub-dates&gt;&lt;/dates&gt;&lt;publisher&gt;National Institute of Environmental Health Sciences&lt;/publisher&gt;&lt;isbn&gt;0091-6765&amp;#xD;1552-9924&lt;/isbn&gt;&lt;accession-num&gt;PMC2599766&lt;/accession-num&gt;&lt;urls&gt;&lt;related-urls&gt;&lt;url&gt;http://www.ncbi.nlm.nih.gov/pmc/articles/PMC2599766/&lt;/url&gt;&lt;/related-urls&gt;&lt;/urls&gt;&lt;electronic-resource-num&gt;10.1289/ehp.11530&lt;/electronic-resource-num&gt;&lt;remote-database-name&gt;PMC&lt;/remote-database-name&gt;&lt;/record&gt;&lt;/Cite&gt;&lt;/EndNote&gt;</w:instrText>
      </w:r>
      <w:r w:rsidR="00224020">
        <w:rPr>
          <w:lang w:val="en-GB"/>
        </w:rPr>
        <w:fldChar w:fldCharType="separate"/>
      </w:r>
      <w:r w:rsidR="00224020">
        <w:rPr>
          <w:noProof/>
          <w:lang w:val="en-GB"/>
        </w:rPr>
        <w:t>(</w:t>
      </w:r>
      <w:hyperlink w:anchor="_ENREF_39" w:tooltip="Vlaanderen, 2008 #852" w:history="1">
        <w:r w:rsidR="004C59A6">
          <w:rPr>
            <w:noProof/>
            <w:lang w:val="en-GB"/>
          </w:rPr>
          <w:t>Vlaanderen et al., 2008</w:t>
        </w:r>
      </w:hyperlink>
      <w:r w:rsidR="00224020">
        <w:rPr>
          <w:noProof/>
          <w:lang w:val="en-GB"/>
        </w:rPr>
        <w:t>)</w:t>
      </w:r>
      <w:r w:rsidR="00224020">
        <w:rPr>
          <w:lang w:val="en-GB"/>
        </w:rPr>
        <w:fldChar w:fldCharType="end"/>
      </w:r>
      <w:r w:rsidR="3DAA9973" w:rsidRPr="536C86A4">
        <w:rPr>
          <w:lang w:val="en-GB"/>
        </w:rPr>
        <w:t xml:space="preserve"> </w:t>
      </w:r>
      <w:r w:rsidR="0BD6389E" w:rsidRPr="536C86A4">
        <w:rPr>
          <w:lang w:val="en-GB"/>
        </w:rPr>
        <w:t>as reference</w:t>
      </w:r>
      <w:r w:rsidR="7213A331" w:rsidRPr="536C86A4">
        <w:rPr>
          <w:lang w:val="en-GB"/>
        </w:rPr>
        <w:t>d</w:t>
      </w:r>
      <w:r w:rsidR="0BD6389E" w:rsidRPr="536C86A4">
        <w:rPr>
          <w:lang w:val="en-GB"/>
        </w:rPr>
        <w:t xml:space="preserve"> in </w:t>
      </w:r>
      <w:hyperlink w:anchor="_ENREF_3" w:tooltip="AGS, 2012 #1092" w:history="1">
        <w:r w:rsidR="004C59A6">
          <w:rPr>
            <w:lang w:val="en-GB"/>
          </w:rPr>
          <w:fldChar w:fldCharType="begin"/>
        </w:r>
        <w:r w:rsidR="004C59A6">
          <w:rPr>
            <w:lang w:val="en-GB"/>
          </w:rPr>
          <w:instrText xml:space="preserve"> ADDIN EN.CITE &lt;EndNote&gt;&lt;Cite AuthorYear="1"&gt;&lt;Author&gt;AGS&lt;/Author&gt;&lt;Year&gt;2012&lt;/Year&gt;&lt;RecNum&gt;1092&lt;/RecNum&gt;&lt;DisplayText&gt;AGS (2012)&lt;/DisplayText&gt;&lt;record&gt;&lt;rec-number&gt;1092&lt;/rec-number&gt;&lt;foreign-keys&gt;&lt;key app="EN" db-id="0d0929f959rse9ex25rp09za5avf0ept9spf" timestamp="1580849538"&gt;1092&lt;/key&gt;&lt;/foreign-keys&gt;&lt;ref-type name="Government Document"&gt;46&lt;/ref-type&gt;&lt;contributors&gt;&lt;authors&gt;&lt;author&gt;AGS&lt;/author&gt;&lt;/authors&gt;&lt;/contributors&gt;&lt;titles&gt;&lt;title&gt;Begründung zu Benzol in BekGS&lt;/title&gt;&lt;/titles&gt;&lt;dates&gt;&lt;year&gt;2012&lt;/year&gt;&lt;/dates&gt;&lt;isbn&gt;910&lt;/isbn&gt;&lt;urls&gt;&lt;related-urls&gt;&lt;url&gt;https://www.baua.de/DE/Angebote/Rechtstexte-und-Technische-Regeln/Regelwerk/TRGS/pdf/910/910-benzol.pdf?__blob=publicationFile&amp;amp;v=2&lt;/url&gt;&lt;/related-urls&gt;&lt;/urls&gt;&lt;custom1&gt;Bundesanstalt fur Arbeitsschutz und Arbeitsmedizin&lt;/custom1&gt;&lt;/record&gt;&lt;/Cite&gt;&lt;/EndNote&gt;</w:instrText>
        </w:r>
        <w:r w:rsidR="004C59A6">
          <w:rPr>
            <w:lang w:val="en-GB"/>
          </w:rPr>
          <w:fldChar w:fldCharType="separate"/>
        </w:r>
        <w:r w:rsidR="004C59A6">
          <w:rPr>
            <w:noProof/>
            <w:lang w:val="en-GB"/>
          </w:rPr>
          <w:t>AGS (2012)</w:t>
        </w:r>
        <w:r w:rsidR="004C59A6">
          <w:rPr>
            <w:lang w:val="en-GB"/>
          </w:rPr>
          <w:fldChar w:fldCharType="end"/>
        </w:r>
      </w:hyperlink>
      <w:r w:rsidR="584DAB98" w:rsidRPr="536C86A4">
        <w:rPr>
          <w:lang w:val="en-GB"/>
        </w:rPr>
        <w:t xml:space="preserve">. Since </w:t>
      </w:r>
      <w:hyperlink w:anchor="_ENREF_16" w:tooltip="Guénel, 2002 #1012" w:history="1">
        <w:r w:rsidR="004C59A6">
          <w:rPr>
            <w:lang w:val="en-GB"/>
          </w:rPr>
          <w:fldChar w:fldCharType="begin"/>
        </w:r>
        <w:r w:rsidR="004C59A6">
          <w:rPr>
            <w:lang w:val="en-GB"/>
          </w:rPr>
          <w:instrText xml:space="preserve"> ADDIN EN.CITE &lt;EndNote&gt;&lt;Cite AuthorYear="1"&gt;&lt;Author&gt;Guénel&lt;/Author&gt;&lt;Year&gt;2002&lt;/Year&gt;&lt;RecNum&gt;1012&lt;/RecNum&gt;&lt;DisplayText&gt;Guénel et al. (2002)&lt;/DisplayText&gt;&lt;record&gt;&lt;rec-number&gt;1012&lt;/rec-number&gt;&lt;foreign-keys&gt;&lt;key app="EN" db-id="0d0929f959rse9ex25rp09za5avf0ept9spf" timestamp="1564064233"&gt;1012&lt;/key&gt;&lt;/foreign-keys&gt;&lt;ref-type name="Journal Article"&gt;17&lt;/ref-type&gt;&lt;contributors&gt;&lt;authors&gt;&lt;author&gt;Guénel, Pascal&lt;/author&gt;&lt;author&gt;Imbernon, Ellen&lt;/author&gt;&lt;author&gt;Chevalier, Anne&lt;/author&gt;&lt;author&gt;Crinquand‐Calastreng, Anne&lt;/author&gt;&lt;author&gt;Goldberg, Marcel&lt;/author&gt;&lt;/authors&gt;&lt;/contributors&gt;&lt;titles&gt;&lt;title&gt;Leukemia in relation to occupational exposures to benzene and other agents: A case‐control study nested in a cohort of gas and electric utility workers&lt;/title&gt;&lt;secondary-title&gt;American journal of industrial medicine&lt;/secondary-title&gt;&lt;/titles&gt;&lt;periodical&gt;&lt;full-title&gt;American Journal of Industrial Medicine&lt;/full-title&gt;&lt;/periodical&gt;&lt;pages&gt;87-97&lt;/pages&gt;&lt;volume&gt;42&lt;/volume&gt;&lt;number&gt;2&lt;/number&gt;&lt;dates&gt;&lt;year&gt;2002&lt;/year&gt;&lt;/dates&gt;&lt;isbn&gt;0271-3586&lt;/isbn&gt;&lt;urls&gt;&lt;/urls&gt;&lt;/record&gt;&lt;/Cite&gt;&lt;/EndNote&gt;</w:instrText>
        </w:r>
        <w:r w:rsidR="004C59A6">
          <w:rPr>
            <w:lang w:val="en-GB"/>
          </w:rPr>
          <w:fldChar w:fldCharType="separate"/>
        </w:r>
        <w:r w:rsidR="004C59A6">
          <w:rPr>
            <w:noProof/>
            <w:lang w:val="en-GB"/>
          </w:rPr>
          <w:t>Guénel et al. (2002)</w:t>
        </w:r>
        <w:r w:rsidR="004C59A6">
          <w:rPr>
            <w:lang w:val="en-GB"/>
          </w:rPr>
          <w:fldChar w:fldCharType="end"/>
        </w:r>
      </w:hyperlink>
      <w:r w:rsidR="1B6E80A0" w:rsidRPr="536C86A4">
        <w:rPr>
          <w:lang w:val="en-GB"/>
        </w:rPr>
        <w:t xml:space="preserve"> </w:t>
      </w:r>
      <w:r w:rsidR="584DAB98" w:rsidRPr="536C86A4">
        <w:rPr>
          <w:lang w:val="en-GB"/>
        </w:rPr>
        <w:t xml:space="preserve">was not based on underlying quantitative benzene data, it was excluded. </w:t>
      </w:r>
      <w:r w:rsidR="755D4336" w:rsidRPr="536C86A4">
        <w:rPr>
          <w:lang w:val="en-GB"/>
        </w:rPr>
        <w:t>The following studies were updated and had quan</w:t>
      </w:r>
      <w:r w:rsidR="089E4F1A" w:rsidRPr="536C86A4">
        <w:rPr>
          <w:lang w:val="en-GB"/>
        </w:rPr>
        <w:t>t</w:t>
      </w:r>
      <w:r w:rsidR="755D4336" w:rsidRPr="536C86A4">
        <w:rPr>
          <w:lang w:val="en-GB"/>
        </w:rPr>
        <w:t>itative da</w:t>
      </w:r>
      <w:r w:rsidR="71388A3E" w:rsidRPr="536C86A4">
        <w:rPr>
          <w:lang w:val="en-GB"/>
        </w:rPr>
        <w:t>t</w:t>
      </w:r>
      <w:r w:rsidR="755D4336" w:rsidRPr="536C86A4">
        <w:rPr>
          <w:lang w:val="en-GB"/>
        </w:rPr>
        <w:t xml:space="preserve">a on benzene exposure and AML risk: 1) </w:t>
      </w:r>
      <w:r w:rsidR="001B1E52">
        <w:rPr>
          <w:lang w:val="en-GB"/>
        </w:rPr>
        <w:t xml:space="preserve">Pliofilm </w:t>
      </w:r>
      <w:r w:rsidR="755D4336" w:rsidRPr="536C86A4">
        <w:rPr>
          <w:lang w:val="en-GB"/>
        </w:rPr>
        <w:t>by</w:t>
      </w:r>
      <w:r w:rsidR="001B1E52">
        <w:rPr>
          <w:lang w:val="en-GB"/>
        </w:rPr>
        <w:t xml:space="preserve"> </w:t>
      </w:r>
      <w:hyperlink w:anchor="_ENREF_25" w:tooltip="Rhomberg, 2016 #672" w:history="1">
        <w:r w:rsidR="004C59A6">
          <w:rPr>
            <w:lang w:val="en-GB"/>
          </w:rPr>
          <w:fldChar w:fldCharType="begin"/>
        </w:r>
        <w:r w:rsidR="004C59A6">
          <w:rPr>
            <w:lang w:val="en-GB"/>
          </w:rPr>
          <w:instrText xml:space="preserve"> ADDIN EN.CITE &lt;EndNote&gt;&lt;Cite AuthorYear="1"&gt;&lt;Author&gt;Rhomberg&lt;/Author&gt;&lt;Year&gt;2016&lt;/Year&gt;&lt;RecNum&gt;672&lt;/RecNum&gt;&lt;DisplayText&gt;Rhomberg et al. (2016)&lt;/DisplayText&gt;&lt;record&gt;&lt;rec-number&gt;672&lt;/rec-number&gt;&lt;foreign-keys&gt;&lt;key app="EN" db-id="0d0929f959rse9ex25rp09za5avf0ept9spf" timestamp="1501269228"&gt;672&lt;/key&gt;&lt;/foreign-keys&gt;&lt;ref-type name="Journal Article"&gt;17&lt;/ref-type&gt;&lt;contributors&gt;&lt;authors&gt;&lt;author&gt;Rhomberg, Lorenz&lt;/author&gt;&lt;author&gt;Goodman, Julie&lt;/author&gt;&lt;author&gt;Tao, Ge&lt;/author&gt;&lt;author&gt;Zu, Ke&lt;/author&gt;&lt;author&gt;Chandalia, Juhi&lt;/author&gt;&lt;author&gt;Williams, Pamela R.D.&lt;/author&gt;&lt;author&gt;Allen, Bruce&lt;/author&gt;&lt;/authors&gt;&lt;/contributors&gt;&lt;titles&gt;&lt;title&gt;Evaluation of Acute Nonlymphocytic Leukemia and Its Subtypes With Updated Benzene Exposure and Mortality Estimates: A Lifetable Analysis of the Pliofilm Cohort&lt;/title&gt;&lt;secondary-title&gt;Journal of Occupational and Environmental Medicine&lt;/secondary-title&gt;&lt;/titles&gt;&lt;periodical&gt;&lt;full-title&gt;Journal of Occupational and Environmental Medicine&lt;/full-title&gt;&lt;/periodical&gt;&lt;pages&gt;414-420&lt;/pages&gt;&lt;volume&gt;58&lt;/volume&gt;&lt;number&gt;4&lt;/number&gt;&lt;dates&gt;&lt;year&gt;2016&lt;/year&gt;&lt;/dates&gt;&lt;isbn&gt;1076-2752&lt;/isbn&gt;&lt;accession-num&gt;00043764-201604000-00015&lt;/accession-num&gt;&lt;urls&gt;&lt;related-urls&gt;&lt;url&gt;http://journals.lww.com/joem/Fulltext/2016/04000/Evaluation_of_Acute_Nonlymphocytic_Leukemia_and.15.aspx&lt;/url&gt;&lt;/related-urls&gt;&lt;/urls&gt;&lt;electronic-resource-num&gt;10.1097/jom.0000000000000689&lt;/electronic-resource-num&gt;&lt;/record&gt;&lt;/Cite&gt;&lt;/EndNote&gt;</w:instrText>
        </w:r>
        <w:r w:rsidR="004C59A6">
          <w:rPr>
            <w:lang w:val="en-GB"/>
          </w:rPr>
          <w:fldChar w:fldCharType="separate"/>
        </w:r>
        <w:r w:rsidR="004C59A6">
          <w:rPr>
            <w:noProof/>
            <w:lang w:val="en-GB"/>
          </w:rPr>
          <w:t>Rhomberg et al. (2016)</w:t>
        </w:r>
        <w:r w:rsidR="004C59A6">
          <w:rPr>
            <w:lang w:val="en-GB"/>
          </w:rPr>
          <w:fldChar w:fldCharType="end"/>
        </w:r>
      </w:hyperlink>
      <w:r w:rsidR="3A9E1AD5" w:rsidRPr="536C86A4">
        <w:rPr>
          <w:lang w:val="en-GB"/>
        </w:rPr>
        <w:t xml:space="preserve">, 2) chemical workers in China by </w:t>
      </w:r>
      <w:hyperlink w:anchor="_ENREF_22" w:tooltip="Linet, 2019 #1029" w:history="1">
        <w:r w:rsidR="004C59A6">
          <w:rPr>
            <w:lang w:val="en-GB"/>
          </w:rPr>
          <w:fldChar w:fldCharType="begin"/>
        </w:r>
        <w:r w:rsidR="004C59A6">
          <w:rPr>
            <w:lang w:val="en-GB"/>
          </w:rPr>
          <w:instrText xml:space="preserve"> ADDIN EN.CITE &lt;EndNote&gt;&lt;Cite AuthorYear="1"&gt;&lt;Author&gt;Linet&lt;/Author&gt;&lt;Year&gt;2019&lt;/Year&gt;&lt;RecNum&gt;1029&lt;/RecNum&gt;&lt;DisplayText&gt;Linet et al. (2019)&lt;/DisplayText&gt;&lt;record&gt;&lt;rec-number&gt;1029&lt;/rec-number&gt;&lt;foreign-keys&gt;&lt;key app="EN" db-id="0d0929f959rse9ex25rp09za5avf0ept9spf" timestamp="1564693684"&gt;1029&lt;/key&gt;&lt;/foreign-keys&gt;&lt;ref-type name="Journal Article"&gt;17&lt;/ref-type&gt;&lt;contributors&gt;&lt;authors&gt;&lt;author&gt;Linet, Martha S&lt;/author&gt;&lt;author&gt;Gilbert, Ethel S&lt;/author&gt;&lt;author&gt;Vermeulen, Roel&lt;/author&gt;&lt;author&gt;Dores, Graça M&lt;/author&gt;&lt;author&gt;Yin, Song-Nian&lt;/author&gt;&lt;author&gt;Portengen, Lutzen&lt;/author&gt;&lt;author&gt;Hayes, Richard B&lt;/author&gt;&lt;author&gt;Ji, Bu-Tian&lt;/author&gt;&lt;author&gt;Lan, Qing&lt;/author&gt;&lt;author&gt;Li, Gui-Lan&lt;/author&gt;&lt;author&gt;Rothman, Nathaniel&lt;/author&gt;&lt;author&gt;Chinese Center for Disease Control&lt;/author&gt;&lt;author&gt;Prevention–US National Cancer Institute Benzene Study Group&lt;/author&gt;&lt;/authors&gt;&lt;/contributors&gt;&lt;titles&gt;&lt;title&gt;Benzene Exposure Response and Risk of Myeloid Neoplasms in Chinese Workers: A Multicenter Case–Cohort Study&lt;/title&gt;&lt;secondary-title&gt;JNCI: Journal of the National Cancer Institute&lt;/secondary-title&gt;&lt;/titles&gt;&lt;periodical&gt;&lt;full-title&gt;JNCI: Journal of the National Cancer Institute&lt;/full-title&gt;&lt;/periodical&gt;&lt;pages&gt;465-474&lt;/pages&gt;&lt;volume&gt;111&lt;/volume&gt;&lt;number&gt;5&lt;/number&gt;&lt;dates&gt;&lt;year&gt;2019&lt;/year&gt;&lt;/dates&gt;&lt;isbn&gt;0027-8874&lt;/isbn&gt;&lt;urls&gt;&lt;related-urls&gt;&lt;url&gt;https://doi.org/10.1093/jnci/djy143&lt;/url&gt;&lt;/related-urls&gt;&lt;/urls&gt;&lt;electronic-resource-num&gt;10.1093/jnci/djy143&lt;/electronic-resource-num&gt;&lt;access-date&gt;8/1/2019&lt;/access-date&gt;&lt;/record&gt;&lt;/Cite&gt;&lt;/EndNote&gt;</w:instrText>
        </w:r>
        <w:r w:rsidR="004C59A6">
          <w:rPr>
            <w:lang w:val="en-GB"/>
          </w:rPr>
          <w:fldChar w:fldCharType="separate"/>
        </w:r>
        <w:r w:rsidR="004C59A6">
          <w:rPr>
            <w:noProof/>
            <w:lang w:val="en-GB"/>
          </w:rPr>
          <w:t>Linet et al. (2019)</w:t>
        </w:r>
        <w:r w:rsidR="004C59A6">
          <w:rPr>
            <w:lang w:val="en-GB"/>
          </w:rPr>
          <w:fldChar w:fldCharType="end"/>
        </w:r>
      </w:hyperlink>
      <w:r w:rsidR="3A9E1AD5" w:rsidRPr="536C86A4">
        <w:rPr>
          <w:lang w:val="en-GB"/>
        </w:rPr>
        <w:t>, 3</w:t>
      </w:r>
      <w:r w:rsidR="05D07D17" w:rsidRPr="536C86A4">
        <w:rPr>
          <w:lang w:val="en-GB"/>
        </w:rPr>
        <w:t xml:space="preserve">-4) chemical workers in the US by </w:t>
      </w:r>
      <w:hyperlink w:anchor="_ENREF_8" w:tooltip="Collins, 2003 #680" w:history="1">
        <w:r w:rsidR="004C59A6">
          <w:rPr>
            <w:lang w:val="en-GB"/>
          </w:rPr>
          <w:fldChar w:fldCharType="begin"/>
        </w:r>
        <w:r w:rsidR="004C59A6">
          <w:rPr>
            <w:lang w:val="en-GB"/>
          </w:rPr>
          <w:instrText xml:space="preserve"> ADDIN EN.CITE &lt;EndNote&gt;&lt;Cite AuthorYear="1"&gt;&lt;Author&gt;Collins&lt;/Author&gt;&lt;Year&gt;2003&lt;/Year&gt;&lt;RecNum&gt;680&lt;/RecNum&gt;&lt;DisplayText&gt;Collins et al. (2003)&lt;/DisplayText&gt;&lt;record&gt;&lt;rec-number&gt;680&lt;/rec-number&gt;&lt;foreign-keys&gt;&lt;key app="EN" db-id="0d0929f959rse9ex25rp09za5avf0ept9spf" timestamp="1501532867"&gt;680&lt;/key&gt;&lt;/foreign-keys&gt;&lt;ref-type name="Journal Article"&gt;17&lt;/ref-type&gt;&lt;contributors&gt;&lt;authors&gt;&lt;author&gt;Collins, JJ&lt;/author&gt;&lt;author&gt;Ireland, B&lt;/author&gt;&lt;author&gt;Buckley, CF&lt;/author&gt;&lt;author&gt;Shepperly, D&lt;/author&gt;&lt;/authors&gt;&lt;/contributors&gt;&lt;titles&gt;&lt;title&gt;Lymphohaematopoeitic cancer mortality among workers with benzene exposure&lt;/title&gt;&lt;secondary-title&gt;Occupational and environmental medicine&lt;/secondary-title&gt;&lt;/titles&gt;&lt;periodical&gt;&lt;full-title&gt;Occupational and Environmental Medicine&lt;/full-title&gt;&lt;/periodical&gt;&lt;pages&gt;676-679&lt;/pages&gt;&lt;volume&gt;60&lt;/volume&gt;&lt;number&gt;9&lt;/number&gt;&lt;dates&gt;&lt;year&gt;2003&lt;/year&gt;&lt;/dates&gt;&lt;isbn&gt;1351-0711&lt;/isbn&gt;&lt;urls&gt;&lt;/urls&gt;&lt;/record&gt;&lt;/Cite&gt;&lt;/EndNote&gt;</w:instrText>
        </w:r>
        <w:r w:rsidR="004C59A6">
          <w:rPr>
            <w:lang w:val="en-GB"/>
          </w:rPr>
          <w:fldChar w:fldCharType="separate"/>
        </w:r>
        <w:r w:rsidR="004C59A6">
          <w:rPr>
            <w:noProof/>
            <w:lang w:val="en-GB"/>
          </w:rPr>
          <w:t>Collins et al. (2003)</w:t>
        </w:r>
        <w:r w:rsidR="004C59A6">
          <w:rPr>
            <w:lang w:val="en-GB"/>
          </w:rPr>
          <w:fldChar w:fldCharType="end"/>
        </w:r>
      </w:hyperlink>
      <w:r w:rsidR="004C6879">
        <w:rPr>
          <w:lang w:val="en-GB"/>
        </w:rPr>
        <w:t xml:space="preserve"> and</w:t>
      </w:r>
      <w:r w:rsidR="00855040">
        <w:rPr>
          <w:noProof/>
          <w:lang w:val="en-GB"/>
        </w:rPr>
        <w:t xml:space="preserve"> </w:t>
      </w:r>
      <w:hyperlink w:anchor="_ENREF_9" w:tooltip="Collins, 2015 #682" w:history="1">
        <w:r w:rsidR="004C59A6">
          <w:rPr>
            <w:noProof/>
            <w:lang w:val="en-GB"/>
          </w:rPr>
          <w:fldChar w:fldCharType="begin"/>
        </w:r>
        <w:r w:rsidR="004C59A6">
          <w:rPr>
            <w:noProof/>
            <w:lang w:val="en-GB"/>
          </w:rPr>
          <w:instrText xml:space="preserve"> ADDIN EN.CITE &lt;EndNote&gt;&lt;Cite AuthorYear="1"&gt;&lt;Author&gt;Collins&lt;/Author&gt;&lt;Year&gt;2015&lt;/Year&gt;&lt;RecNum&gt;682&lt;/RecNum&gt;&lt;DisplayText&gt;Collins et al. (2015)&lt;/DisplayText&gt;&lt;record&gt;&lt;rec-number&gt;682&lt;/rec-number&gt;&lt;foreign-keys&gt;&lt;key app="EN" db-id="0d0929f959rse9ex25rp09za5avf0ept9spf" timestamp="1501533799"&gt;682&lt;/key&gt;&lt;/foreign-keys&gt;&lt;ref-type name="Journal Article"&gt;17&lt;/ref-type&gt;&lt;contributors&gt;&lt;authors&gt;&lt;author&gt;Collins, James J&lt;/author&gt;&lt;author&gt;Anteau, Steven E&lt;/author&gt;&lt;author&gt;Swaen, Gerard MH&lt;/author&gt;&lt;author&gt;Bodner, Kenneth M&lt;/author&gt;&lt;author&gt;Bodnar, Catherine M&lt;/author&gt;&lt;/authors&gt;&lt;/contributors&gt;&lt;titles&gt;&lt;title&gt;Lymphatic and hematopoietic cancers among benzene-exposed workers&lt;/title&gt;&lt;secondary-title&gt;Journal of occupational and environmental medicine&lt;/secondary-title&gt;&lt;/titles&gt;&lt;periodical&gt;&lt;full-title&gt;Journal of Occupational and Environmental Medicine&lt;/full-title&gt;&lt;/periodical&gt;&lt;pages&gt;159-163&lt;/pages&gt;&lt;volume&gt;57&lt;/volume&gt;&lt;number&gt;2&lt;/number&gt;&lt;dates&gt;&lt;year&gt;2015&lt;/year&gt;&lt;/dates&gt;&lt;isbn&gt;1076-2752&lt;/isbn&gt;&lt;urls&gt;&lt;/urls&gt;&lt;/record&gt;&lt;/Cite&gt;&lt;/EndNote&gt;</w:instrText>
        </w:r>
        <w:r w:rsidR="004C59A6">
          <w:rPr>
            <w:noProof/>
            <w:lang w:val="en-GB"/>
          </w:rPr>
          <w:fldChar w:fldCharType="separate"/>
        </w:r>
        <w:r w:rsidR="004C59A6">
          <w:rPr>
            <w:noProof/>
            <w:lang w:val="en-GB"/>
          </w:rPr>
          <w:t>Collins et al. (2015)</w:t>
        </w:r>
        <w:r w:rsidR="004C59A6">
          <w:rPr>
            <w:noProof/>
            <w:lang w:val="en-GB"/>
          </w:rPr>
          <w:fldChar w:fldCharType="end"/>
        </w:r>
      </w:hyperlink>
      <w:r w:rsidR="05D07D17" w:rsidRPr="536C86A4">
        <w:rPr>
          <w:lang w:val="en-GB"/>
        </w:rPr>
        <w:t xml:space="preserve">, </w:t>
      </w:r>
      <w:r w:rsidR="0654615E" w:rsidRPr="536C86A4">
        <w:rPr>
          <w:lang w:val="en-GB"/>
        </w:rPr>
        <w:t>and oil industry workers</w:t>
      </w:r>
      <w:r w:rsidR="001B1E52" w:rsidRPr="001B1E52">
        <w:t xml:space="preserve"> </w:t>
      </w:r>
      <w:r w:rsidR="00FA14F1">
        <w:t xml:space="preserve">by </w:t>
      </w:r>
      <w:hyperlink w:anchor="_ENREF_30" w:tooltip="Rushton, 2014 #96" w:history="1">
        <w:r w:rsidR="004C59A6">
          <w:rPr>
            <w:lang w:val="en-GB"/>
          </w:rPr>
          <w:fldChar w:fldCharType="begin"/>
        </w:r>
        <w:r w:rsidR="004C59A6">
          <w:rPr>
            <w:lang w:val="en-GB"/>
          </w:rPr>
          <w:instrText xml:space="preserve"> ADDIN EN.CITE &lt;EndNote&gt;&lt;Cite AuthorYear="1"&gt;&lt;Author&gt;Rushton&lt;/Author&gt;&lt;Year&gt;2014&lt;/Year&gt;&lt;RecNum&gt;96&lt;/RecNum&gt;&lt;DisplayText&gt;Rushton et al. (2014)&lt;/DisplayText&gt;&lt;record&gt;&lt;rec-number&gt;96&lt;/rec-number&gt;&lt;foreign-keys&gt;&lt;key app="EN" db-id="0d0929f959rse9ex25rp09za5avf0ept9spf" timestamp="1456250996"&gt;96&lt;/key&gt;&lt;/foreign-keys&gt;&lt;ref-type name="Journal Article"&gt;17&lt;/ref-type&gt;&lt;contributors&gt;&lt;authors&gt;&lt;author&gt;Rushton, L.&lt;/author&gt;&lt;author&gt;Schnatter, A. R.&lt;/author&gt;&lt;author&gt;Tang, G.&lt;/author&gt;&lt;author&gt;Glass, D. C.&lt;/author&gt;&lt;/authors&gt;&lt;/contributors&gt;&lt;titles&gt;&lt;title&gt;Acute myeloid and chronic lymphoid leukaemias and exposure to low-level benzene among petroleum workers&lt;/title&gt;&lt;secondary-title&gt;British Journal of Cancer&lt;/secondary-title&gt;&lt;/titles&gt;&lt;periodical&gt;&lt;full-title&gt;British Journal of Cancer&lt;/full-title&gt;&lt;/periodical&gt;&lt;pages&gt;783-787&lt;/pages&gt;&lt;volume&gt;110&lt;/volume&gt;&lt;number&gt;3&lt;/number&gt;&lt;dates&gt;&lt;year&gt;2014&lt;/year&gt;&lt;pub-dates&gt;&lt;date&gt;Feb 4&lt;/date&gt;&lt;/pub-dates&gt;&lt;/dates&gt;&lt;isbn&gt;0007-0920&lt;/isbn&gt;&lt;accession-num&gt;WOS:000331226400028&lt;/accession-num&gt;&lt;urls&gt;&lt;related-urls&gt;&lt;url&gt;&amp;lt;Go to ISI&amp;gt;://WOS:000331226400028&lt;/url&gt;&lt;/related-urls&gt;&lt;/urls&gt;&lt;electronic-resource-num&gt;10.1038/bjc.2013.780&lt;/electronic-resource-num&gt;&lt;/record&gt;&lt;/Cite&gt;&lt;/EndNote&gt;</w:instrText>
        </w:r>
        <w:r w:rsidR="004C59A6">
          <w:rPr>
            <w:lang w:val="en-GB"/>
          </w:rPr>
          <w:fldChar w:fldCharType="separate"/>
        </w:r>
        <w:r w:rsidR="004C59A6">
          <w:rPr>
            <w:noProof/>
            <w:lang w:val="en-GB"/>
          </w:rPr>
          <w:t>Rushton et al. (2014)</w:t>
        </w:r>
        <w:r w:rsidR="004C59A6">
          <w:rPr>
            <w:lang w:val="en-GB"/>
          </w:rPr>
          <w:fldChar w:fldCharType="end"/>
        </w:r>
      </w:hyperlink>
      <w:r w:rsidR="0654615E" w:rsidRPr="536C86A4">
        <w:rPr>
          <w:lang w:val="en-GB"/>
        </w:rPr>
        <w:t xml:space="preserve">. In addition, another study in Norwegian offshore workers </w:t>
      </w:r>
      <w:r w:rsidR="002F3AE2">
        <w:rPr>
          <w:lang w:val="en-GB"/>
        </w:rPr>
        <w:fldChar w:fldCharType="begin"/>
      </w:r>
      <w:r w:rsidR="002266E7">
        <w:rPr>
          <w:lang w:val="en-GB"/>
        </w:rPr>
        <w:instrText xml:space="preserve"> ADDIN EN.CITE &lt;EndNote&gt;&lt;Cite&gt;&lt;Author&gt;Stenehjem&lt;/Author&gt;&lt;Year&gt;2015&lt;/Year&gt;&lt;RecNum&gt;157&lt;/RecNum&gt;&lt;DisplayText&gt;(Stenehjem et al., 2015)&lt;/DisplayText&gt;&lt;record&gt;&lt;rec-number&gt;157&lt;/rec-number&gt;&lt;foreign-keys&gt;&lt;key app="EN" db-id="0d0929f959rse9ex25rp09za5avf0ept9spf" timestamp="1476386383"&gt;157&lt;/key&gt;&lt;/foreign-keys&gt;&lt;ref-type name="Journal Article"&gt;17&lt;/ref-type&gt;&lt;contributors&gt;&lt;authors&gt;&lt;author&gt;Stenehjem, J. S.&lt;/author&gt;&lt;author&gt;Kjarheim, K.&lt;/author&gt;&lt;author&gt;Bratveit, M.&lt;/author&gt;&lt;author&gt;Samuelsen, S. O.&lt;/author&gt;&lt;author&gt;Barone-Adesi, F.&lt;/author&gt;&lt;author&gt;Rothman, N.&lt;/author&gt;&lt;author&gt;Lan, Q.&lt;/author&gt;&lt;author&gt;Grimsrud, T. K.&lt;/author&gt;&lt;/authors&gt;&lt;/contributors&gt;&lt;titles&gt;&lt;title&gt;Benzene exposure and risk of lymphohaematopoietic cancers in 25,000 offshore oil industry workers&lt;/title&gt;&lt;secondary-title&gt;Br J Cancer&lt;/secondary-title&gt;&lt;/titles&gt;&lt;periodical&gt;&lt;full-title&gt;Br J Cancer&lt;/full-title&gt;&lt;/periodical&gt;&lt;pages&gt;1641-1641&lt;/pages&gt;&lt;volume&gt;113&lt;/volume&gt;&lt;number&gt;11&lt;/number&gt;&lt;dates&gt;&lt;year&gt;2015&lt;/year&gt;&lt;pub-dates&gt;&lt;date&gt;12/01/print&lt;/date&gt;&lt;/pub-dates&gt;&lt;/dates&gt;&lt;publisher&gt;Cancer Research UK&lt;/publisher&gt;&lt;isbn&gt;0007-0920&lt;/isbn&gt;&lt;work-type&gt;Corrigendum&lt;/work-type&gt;&lt;urls&gt;&lt;related-urls&gt;&lt;url&gt;http://dx.doi.org/10.1038/bjc.2015.390&lt;/url&gt;&lt;/related-urls&gt;&lt;/urls&gt;&lt;electronic-resource-num&gt;10.1038/bjc.2015.390&lt;/electronic-resource-num&gt;&lt;research-notes&gt;Be mindful to note that when people point to the original publication they need to be careful not to misinterpret what was originally written in light of the correction.&lt;/research-notes&gt;&lt;/record&gt;&lt;/Cite&gt;&lt;/EndNote&gt;</w:instrText>
      </w:r>
      <w:r w:rsidR="002F3AE2">
        <w:rPr>
          <w:lang w:val="en-GB"/>
        </w:rPr>
        <w:fldChar w:fldCharType="separate"/>
      </w:r>
      <w:r w:rsidR="002266E7">
        <w:rPr>
          <w:noProof/>
          <w:lang w:val="en-GB"/>
        </w:rPr>
        <w:t>(</w:t>
      </w:r>
      <w:hyperlink w:anchor="_ENREF_37" w:tooltip="Stenehjem, 2015 #157" w:history="1">
        <w:r w:rsidR="004C59A6">
          <w:rPr>
            <w:noProof/>
            <w:lang w:val="en-GB"/>
          </w:rPr>
          <w:t>Stenehjem et al., 2015</w:t>
        </w:r>
      </w:hyperlink>
      <w:r w:rsidR="002266E7">
        <w:rPr>
          <w:noProof/>
          <w:lang w:val="en-GB"/>
        </w:rPr>
        <w:t>)</w:t>
      </w:r>
      <w:r w:rsidR="002F3AE2">
        <w:rPr>
          <w:lang w:val="en-GB"/>
        </w:rPr>
        <w:fldChar w:fldCharType="end"/>
      </w:r>
      <w:r w:rsidR="0654615E" w:rsidRPr="536C86A4">
        <w:rPr>
          <w:lang w:val="en-GB"/>
        </w:rPr>
        <w:t xml:space="preserve"> was used</w:t>
      </w:r>
      <w:r w:rsidR="62AF17B0" w:rsidRPr="536C86A4">
        <w:rPr>
          <w:lang w:val="en-GB"/>
        </w:rPr>
        <w:t>, although only part of the cohort was based on quantitative benzene data</w:t>
      </w:r>
      <w:r w:rsidR="0654615E" w:rsidRPr="536C86A4">
        <w:rPr>
          <w:lang w:val="en-GB"/>
        </w:rPr>
        <w:t xml:space="preserve">. </w:t>
      </w:r>
      <w:r w:rsidR="0C504203" w:rsidRPr="536C86A4">
        <w:rPr>
          <w:lang w:val="en-GB"/>
        </w:rPr>
        <w:t xml:space="preserve">The </w:t>
      </w:r>
      <w:hyperlink w:anchor="_ENREF_35" w:tooltip="Seniori Costantini, 2003 #683" w:history="1">
        <w:r w:rsidR="004C59A6">
          <w:rPr>
            <w:lang w:val="en-GB"/>
          </w:rPr>
          <w:fldChar w:fldCharType="begin"/>
        </w:r>
        <w:r w:rsidR="004C59A6">
          <w:rPr>
            <w:lang w:val="en-GB"/>
          </w:rPr>
          <w:instrText xml:space="preserve"> ADDIN EN.CITE &lt;EndNote&gt;&lt;Cite AuthorYear="1"&gt;&lt;Author&gt;Seniori Costantini&lt;/Author&gt;&lt;Year&gt;2003&lt;/Year&gt;&lt;RecNum&gt;683&lt;/RecNum&gt;&lt;DisplayText&gt;Seniori Costantini et al. (2003)&lt;/DisplayText&gt;&lt;record&gt;&lt;rec-number&gt;683&lt;/rec-number&gt;&lt;foreign-keys&gt;&lt;key app="EN" db-id="0d0929f959rse9ex25rp09za5avf0ept9spf" timestamp="1501534247"&gt;683&lt;/key&gt;&lt;/foreign-keys&gt;&lt;ref-type name="Journal Article"&gt;17&lt;/ref-type&gt;&lt;contributors&gt;&lt;authors&gt;&lt;author&gt;Seniori Costantini, Adele&lt;/author&gt;&lt;author&gt;Quinn, Margaret&lt;/author&gt;&lt;author&gt;Consonni, Dario&lt;/author&gt;&lt;author&gt;Zappa, Marco&lt;/author&gt;&lt;/authors&gt;&lt;/contributors&gt;&lt;titles&gt;&lt;title&gt;Exposure to benzene and risk of leukemia among shoe factory workers&lt;/title&gt;&lt;secondary-title&gt;Scandinavian journal of work, environment &amp;amp; health&lt;/secondary-title&gt;&lt;/titles&gt;&lt;periodical&gt;&lt;full-title&gt;Scandinavian journal of work, environment &amp;amp; health&lt;/full-title&gt;&lt;/periodical&gt;&lt;pages&gt;51-59&lt;/pages&gt;&lt;dates&gt;&lt;year&gt;2003&lt;/year&gt;&lt;/dates&gt;&lt;isbn&gt;0355-3140&lt;/isbn&gt;&lt;urls&gt;&lt;/urls&gt;&lt;/record&gt;&lt;/Cite&gt;&lt;/EndNote&gt;</w:instrText>
        </w:r>
        <w:r w:rsidR="004C59A6">
          <w:rPr>
            <w:lang w:val="en-GB"/>
          </w:rPr>
          <w:fldChar w:fldCharType="separate"/>
        </w:r>
        <w:r w:rsidR="004C59A6">
          <w:rPr>
            <w:noProof/>
            <w:lang w:val="en-GB"/>
          </w:rPr>
          <w:t>Seniori Costantini et al. (2003)</w:t>
        </w:r>
        <w:r w:rsidR="004C59A6">
          <w:rPr>
            <w:lang w:val="en-GB"/>
          </w:rPr>
          <w:fldChar w:fldCharType="end"/>
        </w:r>
      </w:hyperlink>
      <w:r w:rsidR="00B13B87">
        <w:rPr>
          <w:lang w:val="en-GB"/>
        </w:rPr>
        <w:t xml:space="preserve"> </w:t>
      </w:r>
      <w:r w:rsidR="00855040">
        <w:rPr>
          <w:lang w:val="en-GB"/>
        </w:rPr>
        <w:t xml:space="preserve">study </w:t>
      </w:r>
      <w:r w:rsidR="0C504203" w:rsidRPr="536C86A4">
        <w:rPr>
          <w:lang w:val="en-GB"/>
        </w:rPr>
        <w:t xml:space="preserve">could not be used due to an absence of a dose-response analysis for AML. </w:t>
      </w:r>
      <w:r w:rsidR="0522B569" w:rsidRPr="536C86A4">
        <w:rPr>
          <w:lang w:val="en-GB"/>
        </w:rPr>
        <w:t xml:space="preserve"> Thus, six studies were used for a revised ED01 calculation. </w:t>
      </w:r>
    </w:p>
    <w:p w14:paraId="0091D72D" w14:textId="207F2E7C" w:rsidR="00334936" w:rsidRPr="00CD48FA" w:rsidRDefault="2383975A" w:rsidP="001177B7">
      <w:pPr>
        <w:rPr>
          <w:lang w:val="en-GB"/>
        </w:rPr>
      </w:pPr>
      <w:r w:rsidRPr="536C86A4">
        <w:rPr>
          <w:lang w:val="en-GB"/>
        </w:rPr>
        <w:t xml:space="preserve">We followed the approach outlined in the Appendix of the AGS report to </w:t>
      </w:r>
      <w:r w:rsidR="00E145C5" w:rsidRPr="536C86A4">
        <w:rPr>
          <w:lang w:val="en-GB"/>
        </w:rPr>
        <w:t>calculate</w:t>
      </w:r>
      <w:r w:rsidRPr="536C86A4">
        <w:rPr>
          <w:lang w:val="en-GB"/>
        </w:rPr>
        <w:t xml:space="preserve"> the ED01 for each study. </w:t>
      </w:r>
      <w:r w:rsidR="0B714496" w:rsidRPr="536C86A4">
        <w:rPr>
          <w:lang w:val="en-GB"/>
        </w:rPr>
        <w:t>Briefly, a</w:t>
      </w:r>
      <w:r w:rsidRPr="536C86A4">
        <w:rPr>
          <w:lang w:val="en-GB"/>
        </w:rPr>
        <w:t xml:space="preserve"> simple line</w:t>
      </w:r>
      <w:r w:rsidR="56116CF7" w:rsidRPr="536C86A4">
        <w:rPr>
          <w:lang w:val="en-GB"/>
        </w:rPr>
        <w:t xml:space="preserve">ar regression was fit to categorical dose response data </w:t>
      </w:r>
      <w:r w:rsidR="56ED8035" w:rsidRPr="536C86A4">
        <w:rPr>
          <w:lang w:val="en-GB"/>
        </w:rPr>
        <w:t>(cumulative exposure in ppm-years) ver</w:t>
      </w:r>
      <w:r w:rsidR="64EEA9ED" w:rsidRPr="536C86A4">
        <w:rPr>
          <w:lang w:val="en-GB"/>
        </w:rPr>
        <w:t>s</w:t>
      </w:r>
      <w:r w:rsidR="56ED8035" w:rsidRPr="536C86A4">
        <w:rPr>
          <w:lang w:val="en-GB"/>
        </w:rPr>
        <w:t xml:space="preserve">us AML risk </w:t>
      </w:r>
      <w:r w:rsidR="56116CF7" w:rsidRPr="536C86A4">
        <w:rPr>
          <w:lang w:val="en-GB"/>
        </w:rPr>
        <w:t xml:space="preserve">for each study. The resulting </w:t>
      </w:r>
      <w:r w:rsidR="0DD783C2" w:rsidRPr="536C86A4">
        <w:rPr>
          <w:lang w:val="en-GB"/>
        </w:rPr>
        <w:t xml:space="preserve">regression line </w:t>
      </w:r>
      <w:r w:rsidR="1E778072" w:rsidRPr="536C86A4">
        <w:rPr>
          <w:lang w:val="en-GB"/>
        </w:rPr>
        <w:t>was used to solve for a risk that represented an absolute risk of 1% over either a background i</w:t>
      </w:r>
      <w:r w:rsidR="7E189355" w:rsidRPr="536C86A4">
        <w:rPr>
          <w:lang w:val="en-GB"/>
        </w:rPr>
        <w:t>ncidence of AML (</w:t>
      </w:r>
      <w:r w:rsidR="1D7D02BD" w:rsidRPr="536C86A4">
        <w:rPr>
          <w:lang w:val="en-GB"/>
        </w:rPr>
        <w:t>3.08</w:t>
      </w:r>
      <w:r w:rsidR="214383A1" w:rsidRPr="536C86A4">
        <w:rPr>
          <w:lang w:val="en-GB"/>
        </w:rPr>
        <w:t xml:space="preserve"> </w:t>
      </w:r>
      <w:r w:rsidR="7E189355" w:rsidRPr="536C86A4">
        <w:rPr>
          <w:lang w:val="en-GB"/>
        </w:rPr>
        <w:t>for the incidence studie</w:t>
      </w:r>
      <w:r w:rsidR="7563F925" w:rsidRPr="536C86A4">
        <w:rPr>
          <w:lang w:val="en-GB"/>
        </w:rPr>
        <w:t>s</w:t>
      </w:r>
      <w:r w:rsidR="7E189355" w:rsidRPr="536C86A4">
        <w:rPr>
          <w:lang w:val="en-GB"/>
        </w:rPr>
        <w:t xml:space="preserve">, </w:t>
      </w:r>
      <w:r w:rsidR="7FBA82E5" w:rsidRPr="00397867">
        <w:rPr>
          <w:i/>
          <w:lang w:val="en-GB"/>
        </w:rPr>
        <w:t>i</w:t>
      </w:r>
      <w:r w:rsidR="7E189355" w:rsidRPr="00397867">
        <w:rPr>
          <w:i/>
          <w:lang w:val="en-GB"/>
        </w:rPr>
        <w:t>.e.</w:t>
      </w:r>
      <w:r w:rsidR="00397867">
        <w:rPr>
          <w:i/>
          <w:lang w:val="en-GB"/>
        </w:rPr>
        <w:t>,</w:t>
      </w:r>
      <w:r w:rsidR="00300BB1" w:rsidRPr="00300BB1">
        <w:t xml:space="preserve"> </w:t>
      </w:r>
      <w:r w:rsidR="00300BB1" w:rsidRPr="00300BB1">
        <w:rPr>
          <w:lang w:val="en-GB"/>
        </w:rPr>
        <w:t xml:space="preserve">Linet et al., 2019; Rushton et al., 2014; Stenehjem et al., </w:t>
      </w:r>
      <w:r w:rsidR="00300BB1">
        <w:rPr>
          <w:lang w:val="en-GB"/>
        </w:rPr>
        <w:t xml:space="preserve">2015) </w:t>
      </w:r>
      <w:r w:rsidR="2F1ABBD8" w:rsidRPr="536C86A4">
        <w:rPr>
          <w:lang w:val="en-GB"/>
        </w:rPr>
        <w:t>or a back</w:t>
      </w:r>
      <w:r w:rsidR="1B435932" w:rsidRPr="536C86A4">
        <w:rPr>
          <w:lang w:val="en-GB"/>
        </w:rPr>
        <w:t>g</w:t>
      </w:r>
      <w:r w:rsidR="2F1ABBD8" w:rsidRPr="536C86A4">
        <w:rPr>
          <w:lang w:val="en-GB"/>
        </w:rPr>
        <w:t xml:space="preserve">round mortality rate of AML </w:t>
      </w:r>
      <w:r w:rsidR="7B48C7E3" w:rsidRPr="536C86A4">
        <w:rPr>
          <w:lang w:val="en-GB"/>
        </w:rPr>
        <w:t>(</w:t>
      </w:r>
      <w:r w:rsidR="0AA0B8D2" w:rsidRPr="536C86A4">
        <w:rPr>
          <w:lang w:val="en-GB"/>
        </w:rPr>
        <w:t xml:space="preserve">3.38 for the mortality studies, </w:t>
      </w:r>
      <w:r w:rsidR="00397867">
        <w:rPr>
          <w:i/>
          <w:lang w:val="en-GB"/>
        </w:rPr>
        <w:t>i</w:t>
      </w:r>
      <w:r w:rsidR="0AA0B8D2" w:rsidRPr="00397867">
        <w:rPr>
          <w:i/>
          <w:lang w:val="en-GB"/>
        </w:rPr>
        <w:t>.e.</w:t>
      </w:r>
      <w:r w:rsidR="00397867">
        <w:rPr>
          <w:lang w:val="en-GB"/>
        </w:rPr>
        <w:t>,</w:t>
      </w:r>
      <w:r w:rsidR="00300BB1">
        <w:rPr>
          <w:lang w:val="en-GB"/>
        </w:rPr>
        <w:t xml:space="preserve"> </w:t>
      </w:r>
      <w:r w:rsidR="00300BB1" w:rsidRPr="00300BB1">
        <w:rPr>
          <w:lang w:val="en-GB"/>
        </w:rPr>
        <w:t>Collins et al., 2003; Collins et al., 2015; Rhomberg et al., 2016</w:t>
      </w:r>
      <w:r w:rsidR="0AA0B8D2" w:rsidRPr="536C86A4">
        <w:rPr>
          <w:lang w:val="en-GB"/>
        </w:rPr>
        <w:t>)</w:t>
      </w:r>
      <w:r w:rsidR="7B48C7E3" w:rsidRPr="536C86A4">
        <w:rPr>
          <w:lang w:val="en-GB"/>
        </w:rPr>
        <w:t xml:space="preserve"> </w:t>
      </w:r>
      <w:r w:rsidR="001658E1" w:rsidRPr="536C86A4">
        <w:rPr>
          <w:lang w:val="en-GB"/>
        </w:rPr>
        <w:t xml:space="preserve"> </w:t>
      </w:r>
      <w:r w:rsidR="254C4663" w:rsidRPr="536C86A4">
        <w:rPr>
          <w:lang w:val="en-GB"/>
        </w:rPr>
        <w:t>Backgr</w:t>
      </w:r>
      <w:r w:rsidR="47B9F03D" w:rsidRPr="536C86A4">
        <w:rPr>
          <w:lang w:val="en-GB"/>
        </w:rPr>
        <w:t>o</w:t>
      </w:r>
      <w:r w:rsidR="254C4663" w:rsidRPr="536C86A4">
        <w:rPr>
          <w:lang w:val="en-GB"/>
        </w:rPr>
        <w:t xml:space="preserve">und </w:t>
      </w:r>
      <w:r w:rsidR="00242AF3">
        <w:rPr>
          <w:lang w:val="en-GB"/>
        </w:rPr>
        <w:t>leukaemia</w:t>
      </w:r>
      <w:r w:rsidR="67A137A4" w:rsidRPr="536C86A4">
        <w:rPr>
          <w:lang w:val="en-GB"/>
        </w:rPr>
        <w:t xml:space="preserve"> </w:t>
      </w:r>
      <w:r w:rsidR="254C4663" w:rsidRPr="536C86A4">
        <w:rPr>
          <w:lang w:val="en-GB"/>
        </w:rPr>
        <w:t>lifetime incidence</w:t>
      </w:r>
      <w:r w:rsidR="37E21559" w:rsidRPr="536C86A4">
        <w:rPr>
          <w:lang w:val="en-GB"/>
        </w:rPr>
        <w:t xml:space="preserve"> </w:t>
      </w:r>
      <w:r w:rsidR="254C4663" w:rsidRPr="536C86A4">
        <w:rPr>
          <w:lang w:val="en-GB"/>
        </w:rPr>
        <w:t>and mortality</w:t>
      </w:r>
      <w:r w:rsidR="58878E00" w:rsidRPr="536C86A4">
        <w:rPr>
          <w:lang w:val="en-GB"/>
        </w:rPr>
        <w:t xml:space="preserve"> </w:t>
      </w:r>
      <w:r w:rsidR="254C4663" w:rsidRPr="536C86A4">
        <w:rPr>
          <w:lang w:val="en-GB"/>
        </w:rPr>
        <w:t>r</w:t>
      </w:r>
      <w:r w:rsidR="501D3AD6" w:rsidRPr="536C86A4">
        <w:rPr>
          <w:lang w:val="en-GB"/>
        </w:rPr>
        <w:t>isks</w:t>
      </w:r>
      <w:r w:rsidR="254C4663" w:rsidRPr="536C86A4">
        <w:rPr>
          <w:lang w:val="en-GB"/>
        </w:rPr>
        <w:t xml:space="preserve"> were obtained from SEER </w:t>
      </w:r>
      <w:r w:rsidR="2BA7B8F6" w:rsidRPr="536C86A4">
        <w:rPr>
          <w:lang w:val="en-GB"/>
        </w:rPr>
        <w:t xml:space="preserve">data </w:t>
      </w:r>
      <w:r w:rsidR="00224020">
        <w:rPr>
          <w:lang w:val="en-GB"/>
        </w:rPr>
        <w:fldChar w:fldCharType="begin"/>
      </w:r>
      <w:r w:rsidR="00224020">
        <w:rPr>
          <w:lang w:val="en-GB"/>
        </w:rPr>
        <w:instrText xml:space="preserve"> ADDIN EN.CITE &lt;EndNote&gt;&lt;Cite&gt;&lt;Author&gt;Howlader&lt;/Author&gt;&lt;Year&gt;2015&lt;/Year&gt;&lt;RecNum&gt;1201&lt;/RecNum&gt;&lt;DisplayText&gt;(Howlader et al., 2015)&lt;/DisplayText&gt;&lt;record&gt;&lt;rec-number&gt;1201&lt;/rec-number&gt;&lt;foreign-keys&gt;&lt;key app="EN" db-id="0d0929f959rse9ex25rp09za5avf0ept9spf" timestamp="1594409428"&gt;1201&lt;/key&gt;&lt;/foreign-keys&gt;&lt;ref-type name="Electronic Article"&gt;43&lt;/ref-type&gt;&lt;contributors&gt;&lt;authors&gt;&lt;author&gt;Howlader, N&lt;/author&gt;&lt;author&gt;Noone, AM&lt;/author&gt;&lt;author&gt;Krapcho, M&lt;/author&gt;&lt;author&gt;Garshell, J&lt;/author&gt;&lt;author&gt;Miller, D&lt;/author&gt;&lt;author&gt;Altekruse, SF&lt;/author&gt;&lt;author&gt;Kosary, CL&lt;/author&gt;&lt;author&gt;Yu, M&lt;/author&gt;&lt;author&gt;Ruhl, J&lt;/author&gt;&lt;author&gt;Tatalovich, Z&lt;/author&gt;&lt;author&gt;Mariotto, A&lt;/author&gt;&lt;author&gt;Lewis, DR&lt;/author&gt;&lt;author&gt;Chen, HS&lt;/author&gt;&lt;author&gt;Feuer, EJ&lt;/author&gt;&lt;author&gt;Cronin, KA &lt;/author&gt;&lt;/authors&gt;&lt;/contributors&gt;&lt;titles&gt;&lt;title&gt;SEER Cancer Statistics Review, 1975-2012, National Cancer Institute&lt;/title&gt;&lt;/titles&gt;&lt;edition&gt;based on November 2014 SEER data submission, posted to the SEER web site, April 2015.&lt;/edition&gt;&lt;dates&gt;&lt;year&gt;2015&lt;/year&gt;&lt;/dates&gt;&lt;pub-location&gt;Bethesda, MD&lt;/pub-location&gt;&lt;urls&gt;&lt;related-urls&gt;&lt;url&gt;https://seer.cancer.gov/archive/csr/1975_2012/&lt;/url&gt;&lt;/related-urls&gt;&lt;/urls&gt;&lt;/record&gt;&lt;/Cite&gt;&lt;/EndNote&gt;</w:instrText>
      </w:r>
      <w:r w:rsidR="00224020">
        <w:rPr>
          <w:lang w:val="en-GB"/>
        </w:rPr>
        <w:fldChar w:fldCharType="separate"/>
      </w:r>
      <w:r w:rsidR="00224020">
        <w:rPr>
          <w:noProof/>
          <w:lang w:val="en-GB"/>
        </w:rPr>
        <w:t>(</w:t>
      </w:r>
      <w:hyperlink w:anchor="_ENREF_18" w:tooltip="Howlader, 2015 #1201" w:history="1">
        <w:r w:rsidR="004C59A6">
          <w:rPr>
            <w:noProof/>
            <w:lang w:val="en-GB"/>
          </w:rPr>
          <w:t>Howlader et al., 2015</w:t>
        </w:r>
      </w:hyperlink>
      <w:r w:rsidR="00224020">
        <w:rPr>
          <w:noProof/>
          <w:lang w:val="en-GB"/>
        </w:rPr>
        <w:t>)</w:t>
      </w:r>
      <w:r w:rsidR="00224020">
        <w:rPr>
          <w:lang w:val="en-GB"/>
        </w:rPr>
        <w:fldChar w:fldCharType="end"/>
      </w:r>
      <w:r w:rsidR="7766ADE7" w:rsidRPr="536C86A4">
        <w:rPr>
          <w:lang w:val="en-GB"/>
        </w:rPr>
        <w:t>, and fractions for AML were obtained from</w:t>
      </w:r>
      <w:r w:rsidR="46626777" w:rsidRPr="536C86A4">
        <w:rPr>
          <w:lang w:val="en-GB"/>
        </w:rPr>
        <w:t xml:space="preserve"> on line statistics of the </w:t>
      </w:r>
      <w:hyperlink w:anchor="_ENREF_4" w:tooltip="American Cancer Society, 2020 #1204" w:history="1">
        <w:r w:rsidR="004C59A6">
          <w:rPr>
            <w:lang w:val="en-GB"/>
          </w:rPr>
          <w:fldChar w:fldCharType="begin"/>
        </w:r>
        <w:r w:rsidR="004C59A6">
          <w:rPr>
            <w:lang w:val="en-GB"/>
          </w:rPr>
          <w:instrText xml:space="preserve"> ADDIN EN.CITE &lt;EndNote&gt;&lt;Cite AuthorYear="1"&gt;&lt;Author&gt;Society&lt;/Author&gt;&lt;Year&gt;2020&lt;/Year&gt;&lt;RecNum&gt;1204&lt;/RecNum&gt;&lt;DisplayText&gt;American Cancer Society (2020)&lt;/DisplayText&gt;&lt;record&gt;&lt;rec-number&gt;1204&lt;/rec-number&gt;&lt;foreign-keys&gt;&lt;key app="EN" db-id="0d0929f959rse9ex25rp09za5avf0ept9spf" timestamp="1594414519"&gt;1204&lt;/key&gt;&lt;/foreign-keys&gt;&lt;ref-type name="Web Page"&gt;12&lt;/ref-type&gt;&lt;contributors&gt;&lt;authors&gt;&lt;author&gt;American Cancer Society,&lt;/author&gt;&lt;/authors&gt;&lt;/contributors&gt;&lt;titles&gt;&lt;title&gt;Key Statistics for Acute Myeloid Leukemia (AML)&lt;/title&gt;&lt;/titles&gt;&lt;volume&gt;2020&lt;/volume&gt;&lt;number&gt;June 26&lt;/number&gt;&lt;dates&gt;&lt;year&gt;2020&lt;/year&gt;&lt;pub-dates&gt;&lt;date&gt;January 8, 2020&lt;/date&gt;&lt;/pub-dates&gt;&lt;/dates&gt;&lt;urls&gt;&lt;related-urls&gt;&lt;url&gt;https://www.cancer.org/cancer/acute-myeloid-leukemia/about/key-statistics.html&lt;/url&gt;&lt;/related-urls&gt;&lt;/urls&gt;&lt;/record&gt;&lt;/Cite&gt;&lt;/EndNote&gt;</w:instrText>
        </w:r>
        <w:r w:rsidR="004C59A6">
          <w:rPr>
            <w:lang w:val="en-GB"/>
          </w:rPr>
          <w:fldChar w:fldCharType="separate"/>
        </w:r>
        <w:r w:rsidR="004C59A6">
          <w:rPr>
            <w:noProof/>
            <w:lang w:val="en-GB"/>
          </w:rPr>
          <w:t>American Cancer Society (2020)</w:t>
        </w:r>
        <w:r w:rsidR="004C59A6">
          <w:rPr>
            <w:lang w:val="en-GB"/>
          </w:rPr>
          <w:fldChar w:fldCharType="end"/>
        </w:r>
      </w:hyperlink>
      <w:r w:rsidR="73218F1D" w:rsidRPr="536C86A4">
        <w:rPr>
          <w:lang w:val="en-GB"/>
        </w:rPr>
        <w:t xml:space="preserve">. </w:t>
      </w:r>
      <w:r w:rsidR="0084577C">
        <w:rPr>
          <w:lang w:val="en-GB"/>
        </w:rPr>
        <w:fldChar w:fldCharType="begin"/>
      </w:r>
      <w:r w:rsidR="0084577C">
        <w:rPr>
          <w:lang w:val="en-GB"/>
        </w:rPr>
        <w:instrText xml:space="preserve"> REF _Ref45293075 \h </w:instrText>
      </w:r>
      <w:r w:rsidR="0084577C">
        <w:rPr>
          <w:lang w:val="en-GB"/>
        </w:rPr>
      </w:r>
      <w:r w:rsidR="0084577C">
        <w:rPr>
          <w:lang w:val="en-GB"/>
        </w:rPr>
        <w:fldChar w:fldCharType="separate"/>
      </w:r>
      <w:r w:rsidR="0084577C">
        <w:t xml:space="preserve">Table </w:t>
      </w:r>
      <w:r w:rsidR="0084577C">
        <w:rPr>
          <w:noProof/>
        </w:rPr>
        <w:t>1</w:t>
      </w:r>
      <w:r w:rsidR="0084577C">
        <w:rPr>
          <w:lang w:val="en-GB"/>
        </w:rPr>
        <w:fldChar w:fldCharType="end"/>
      </w:r>
      <w:r w:rsidR="0084577C">
        <w:rPr>
          <w:lang w:val="en-GB"/>
        </w:rPr>
        <w:t xml:space="preserve"> </w:t>
      </w:r>
      <w:r w:rsidR="73218F1D" w:rsidRPr="536C86A4">
        <w:rPr>
          <w:lang w:val="en-GB"/>
        </w:rPr>
        <w:t xml:space="preserve">shows the categorical </w:t>
      </w:r>
      <w:r w:rsidR="51627A13" w:rsidRPr="536C86A4">
        <w:rPr>
          <w:lang w:val="en-GB"/>
        </w:rPr>
        <w:t>cumulative exposure groupings used</w:t>
      </w:r>
      <w:r w:rsidR="73218F1D" w:rsidRPr="536C86A4">
        <w:rPr>
          <w:lang w:val="en-GB"/>
        </w:rPr>
        <w:t xml:space="preserve"> for each study; when more than one ED01 estimate </w:t>
      </w:r>
      <w:r w:rsidR="237B658C" w:rsidRPr="536C86A4">
        <w:rPr>
          <w:lang w:val="en-GB"/>
        </w:rPr>
        <w:t xml:space="preserve">was made for the same study, the two estimates were averaged. </w:t>
      </w:r>
      <w:r w:rsidR="7766ADE7" w:rsidRPr="536C86A4">
        <w:rPr>
          <w:lang w:val="en-GB"/>
        </w:rPr>
        <w:t xml:space="preserve"> </w:t>
      </w:r>
      <w:r w:rsidR="007951DC">
        <w:rPr>
          <w:lang w:val="en-GB"/>
        </w:rPr>
        <w:t>The</w:t>
      </w:r>
      <w:r w:rsidR="0327D2A0" w:rsidRPr="536C86A4">
        <w:rPr>
          <w:lang w:val="en-GB"/>
        </w:rPr>
        <w:t xml:space="preserve"> quintile </w:t>
      </w:r>
      <w:r w:rsidR="447BF4BC" w:rsidRPr="536C86A4">
        <w:rPr>
          <w:lang w:val="en-GB"/>
        </w:rPr>
        <w:t xml:space="preserve">grouping favored by </w:t>
      </w:r>
      <w:hyperlink w:anchor="_ENREF_25" w:tooltip="Rhomberg, 2016 #672" w:history="1">
        <w:r w:rsidR="004C59A6">
          <w:rPr>
            <w:lang w:val="en-GB"/>
          </w:rPr>
          <w:fldChar w:fldCharType="begin"/>
        </w:r>
        <w:r w:rsidR="004C59A6">
          <w:rPr>
            <w:lang w:val="en-GB"/>
          </w:rPr>
          <w:instrText xml:space="preserve"> ADDIN EN.CITE &lt;EndNote&gt;&lt;Cite AuthorYear="1"&gt;&lt;Author&gt;Rhomberg&lt;/Author&gt;&lt;Year&gt;2016&lt;/Year&gt;&lt;RecNum&gt;672&lt;/RecNum&gt;&lt;DisplayText&gt;Rhomberg et al. (2016)&lt;/DisplayText&gt;&lt;record&gt;&lt;rec-number&gt;672&lt;/rec-number&gt;&lt;foreign-keys&gt;&lt;key app="EN" db-id="0d0929f959rse9ex25rp09za5avf0ept9spf" timestamp="1501269228"&gt;672&lt;/key&gt;&lt;/foreign-keys&gt;&lt;ref-type name="Journal Article"&gt;17&lt;/ref-type&gt;&lt;contributors&gt;&lt;authors&gt;&lt;author&gt;Rhomberg, Lorenz&lt;/author&gt;&lt;author&gt;Goodman, Julie&lt;/author&gt;&lt;author&gt;Tao, Ge&lt;/author&gt;&lt;author&gt;Zu, Ke&lt;/author&gt;&lt;author&gt;Chandalia, Juhi&lt;/author&gt;&lt;author&gt;Williams, Pamela R.D.&lt;/author&gt;&lt;author&gt;Allen, Bruce&lt;/author&gt;&lt;/authors&gt;&lt;/contributors&gt;&lt;titles&gt;&lt;title&gt;Evaluation of Acute Nonlymphocytic Leukemia and Its Subtypes With Updated Benzene Exposure and Mortality Estimates: A Lifetable Analysis of the Pliofilm Cohort&lt;/title&gt;&lt;secondary-title&gt;Journal of Occupational and Environmental Medicine&lt;/secondary-title&gt;&lt;/titles&gt;&lt;periodical&gt;&lt;full-title&gt;Journal of Occupational and Environmental Medicine&lt;/full-title&gt;&lt;/periodical&gt;&lt;pages&gt;414-420&lt;/pages&gt;&lt;volume&gt;58&lt;/volume&gt;&lt;number&gt;4&lt;/number&gt;&lt;dates&gt;&lt;year&gt;2016&lt;/year&gt;&lt;/dates&gt;&lt;isbn&gt;1076-2752&lt;/isbn&gt;&lt;accession-num&gt;00043764-201604000-00015&lt;/accession-num&gt;&lt;urls&gt;&lt;related-urls&gt;&lt;url&gt;http://journals.lww.com/joem/Fulltext/2016/04000/Evaluation_of_Acute_Nonlymphocytic_Leukemia_and.15.aspx&lt;/url&gt;&lt;/related-urls&gt;&lt;/urls&gt;&lt;electronic-resource-num&gt;10.1097/jom.0000000000000689&lt;/electronic-resource-num&gt;&lt;/record&gt;&lt;/Cite&gt;&lt;/EndNote&gt;</w:instrText>
        </w:r>
        <w:r w:rsidR="004C59A6">
          <w:rPr>
            <w:lang w:val="en-GB"/>
          </w:rPr>
          <w:fldChar w:fldCharType="separate"/>
        </w:r>
        <w:r w:rsidR="004C59A6">
          <w:rPr>
            <w:noProof/>
            <w:lang w:val="en-GB"/>
          </w:rPr>
          <w:t>Rhomberg et al. (2016)</w:t>
        </w:r>
        <w:r w:rsidR="004C59A6">
          <w:rPr>
            <w:lang w:val="en-GB"/>
          </w:rPr>
          <w:fldChar w:fldCharType="end"/>
        </w:r>
      </w:hyperlink>
      <w:r w:rsidR="447BF4BC" w:rsidRPr="536C86A4">
        <w:rPr>
          <w:lang w:val="en-GB"/>
        </w:rPr>
        <w:t xml:space="preserve"> and also the </w:t>
      </w:r>
      <w:r w:rsidR="0000542F" w:rsidRPr="0000542F">
        <w:t xml:space="preserve"> </w:t>
      </w:r>
      <w:hyperlink w:anchor="_ENREF_27" w:tooltip="Rinsky, 2002 #395" w:history="1">
        <w:r w:rsidR="004C59A6">
          <w:rPr>
            <w:lang w:val="en-GB"/>
          </w:rPr>
          <w:fldChar w:fldCharType="begin"/>
        </w:r>
        <w:r w:rsidR="004C59A6">
          <w:rPr>
            <w:lang w:val="en-GB"/>
          </w:rPr>
          <w:instrText xml:space="preserve"> ADDIN EN.CITE &lt;EndNote&gt;&lt;Cite AuthorYear="1"&gt;&lt;Author&gt;Rinsky&lt;/Author&gt;&lt;Year&gt;2002&lt;/Year&gt;&lt;RecNum&gt;395&lt;/RecNum&gt;&lt;DisplayText&gt;Rinsky et al. (2002)&lt;/DisplayText&gt;&lt;record&gt;&lt;rec-number&gt;395&lt;/rec-number&gt;&lt;foreign-keys&gt;&lt;key app="EN" db-id="0d0929f959rse9ex25rp09za5avf0ept9spf" timestamp="1483468322"&gt;395&lt;/key&gt;&lt;/foreign-keys&gt;&lt;ref-type name="Journal Article"&gt;17&lt;/ref-type&gt;&lt;contributors&gt;&lt;authors&gt;&lt;author&gt;Rinsky, R. A.&lt;/author&gt;&lt;author&gt;Hornung, R. W.&lt;/author&gt;&lt;author&gt;Silver, S. R.&lt;/author&gt;&lt;author&gt;Tseng, C. Y.&lt;/author&gt;&lt;/authors&gt;&lt;/contributors&gt;&lt;titles&gt;&lt;title&gt;Benzene exposure and hematopoietic mortality: A long-term epidemiologic risk assessment&lt;/title&gt;&lt;secondary-title&gt;American Journal of Industrial Medicine&lt;/secondary-title&gt;&lt;/titles&gt;&lt;periodical&gt;&lt;full-title&gt;American Journal of Industrial Medicine&lt;/full-title&gt;&lt;/periodical&gt;&lt;pages&gt;474-480&lt;/pages&gt;&lt;volume&gt;42&lt;/volume&gt;&lt;number&gt;6&lt;/number&gt;&lt;keywords&gt;&lt;keyword&gt;benzene&lt;/keyword&gt;&lt;keyword&gt;rubber workers&lt;/keyword&gt;&lt;keyword&gt;leukemia&lt;/keyword&gt;&lt;keyword&gt;multiple myeloma&lt;/keyword&gt;&lt;keyword&gt;risk analysis&lt;/keyword&gt;&lt;keyword&gt;occupational health&lt;/keyword&gt;&lt;/keywords&gt;&lt;dates&gt;&lt;year&gt;2002&lt;/year&gt;&lt;/dates&gt;&lt;publisher&gt;Wiley Subscription Services, Inc., A Wiley Company&lt;/publisher&gt;&lt;isbn&gt;1097-0274&lt;/isbn&gt;&lt;urls&gt;&lt;related-urls&gt;&lt;url&gt;http://dx.doi.org/10.1002/ajim.10138&lt;/url&gt;&lt;/related-urls&gt;&lt;/urls&gt;&lt;electronic-resource-num&gt;10.1002/ajim.10138&lt;/electronic-resource-num&gt;&lt;/record&gt;&lt;/Cite&gt;&lt;/EndNote&gt;</w:instrText>
        </w:r>
        <w:r w:rsidR="004C59A6">
          <w:rPr>
            <w:lang w:val="en-GB"/>
          </w:rPr>
          <w:fldChar w:fldCharType="separate"/>
        </w:r>
        <w:r w:rsidR="004C59A6">
          <w:rPr>
            <w:noProof/>
            <w:lang w:val="en-GB"/>
          </w:rPr>
          <w:t>Rinsky et al. (2002)</w:t>
        </w:r>
        <w:r w:rsidR="004C59A6">
          <w:rPr>
            <w:lang w:val="en-GB"/>
          </w:rPr>
          <w:fldChar w:fldCharType="end"/>
        </w:r>
      </w:hyperlink>
      <w:r w:rsidR="447BF4BC" w:rsidRPr="536C86A4">
        <w:rPr>
          <w:lang w:val="en-GB"/>
        </w:rPr>
        <w:t xml:space="preserve"> categorization previously used by AGS, but updated in the </w:t>
      </w:r>
      <w:hyperlink w:anchor="_ENREF_25" w:tooltip="Rhomberg, 2016 #672" w:history="1">
        <w:r w:rsidR="004C59A6">
          <w:rPr>
            <w:lang w:val="en-GB"/>
          </w:rPr>
          <w:fldChar w:fldCharType="begin"/>
        </w:r>
        <w:r w:rsidR="004C59A6">
          <w:rPr>
            <w:lang w:val="en-GB"/>
          </w:rPr>
          <w:instrText xml:space="preserve"> ADDIN EN.CITE &lt;EndNote&gt;&lt;Cite AuthorYear="1"&gt;&lt;Author&gt;Rhomberg&lt;/Author&gt;&lt;Year&gt;2016&lt;/Year&gt;&lt;RecNum&gt;672&lt;/RecNum&gt;&lt;DisplayText&gt;Rhomberg et al. (2016)&lt;/DisplayText&gt;&lt;record&gt;&lt;rec-number&gt;672&lt;/rec-number&gt;&lt;foreign-keys&gt;&lt;key app="EN" db-id="0d0929f959rse9ex25rp09za5avf0ept9spf" timestamp="1501269228"&gt;672&lt;/key&gt;&lt;/foreign-keys&gt;&lt;ref-type name="Journal Article"&gt;17&lt;/ref-type&gt;&lt;contributors&gt;&lt;authors&gt;&lt;author&gt;Rhomberg, Lorenz&lt;/author&gt;&lt;author&gt;Goodman, Julie&lt;/author&gt;&lt;author&gt;Tao, Ge&lt;/author&gt;&lt;author&gt;Zu, Ke&lt;/author&gt;&lt;author&gt;Chandalia, Juhi&lt;/author&gt;&lt;author&gt;Williams, Pamela R.D.&lt;/author&gt;&lt;author&gt;Allen, Bruce&lt;/author&gt;&lt;/authors&gt;&lt;/contributors&gt;&lt;titles&gt;&lt;title&gt;Evaluation of Acute Nonlymphocytic Leukemia and Its Subtypes With Updated Benzene Exposure and Mortality Estimates: A Lifetable Analysis of the Pliofilm Cohort&lt;/title&gt;&lt;secondary-title&gt;Journal of Occupational and Environmental Medicine&lt;/secondary-title&gt;&lt;/titles&gt;&lt;periodical&gt;&lt;full-title&gt;Journal of Occupational and Environmental Medicine&lt;/full-title&gt;&lt;/periodical&gt;&lt;pages&gt;414-420&lt;/pages&gt;&lt;volume&gt;58&lt;/volume&gt;&lt;number&gt;4&lt;/number&gt;&lt;dates&gt;&lt;year&gt;2016&lt;/year&gt;&lt;/dates&gt;&lt;isbn&gt;1076-2752&lt;/isbn&gt;&lt;accession-num&gt;00043764-201604000-00015&lt;/accession-num&gt;&lt;urls&gt;&lt;related-urls&gt;&lt;url&gt;http://journals.lww.com/joem/Fulltext/2016/04000/Evaluation_of_Acute_Nonlymphocytic_Leukemia_and.15.aspx&lt;/url&gt;&lt;/related-urls&gt;&lt;/urls&gt;&lt;electronic-resource-num&gt;10.1097/jom.0000000000000689&lt;/electronic-resource-num&gt;&lt;/record&gt;&lt;/Cite&gt;&lt;/EndNote&gt;</w:instrText>
        </w:r>
        <w:r w:rsidR="004C59A6">
          <w:rPr>
            <w:lang w:val="en-GB"/>
          </w:rPr>
          <w:fldChar w:fldCharType="separate"/>
        </w:r>
        <w:r w:rsidR="004C59A6">
          <w:rPr>
            <w:noProof/>
            <w:lang w:val="en-GB"/>
          </w:rPr>
          <w:t>Rhomberg et al. (2016)</w:t>
        </w:r>
        <w:r w:rsidR="004C59A6">
          <w:rPr>
            <w:lang w:val="en-GB"/>
          </w:rPr>
          <w:fldChar w:fldCharType="end"/>
        </w:r>
      </w:hyperlink>
      <w:r w:rsidR="007951DC">
        <w:rPr>
          <w:lang w:val="en-GB"/>
        </w:rPr>
        <w:t>,</w:t>
      </w:r>
      <w:r w:rsidR="3C3ADFD0" w:rsidRPr="536C86A4">
        <w:rPr>
          <w:lang w:val="en-GB"/>
        </w:rPr>
        <w:t xml:space="preserve"> </w:t>
      </w:r>
      <w:r w:rsidR="0AEBBA61" w:rsidRPr="536C86A4">
        <w:rPr>
          <w:lang w:val="en-GB"/>
        </w:rPr>
        <w:t xml:space="preserve">study </w:t>
      </w:r>
      <w:r w:rsidR="3C3ADFD0" w:rsidRPr="536C86A4">
        <w:rPr>
          <w:lang w:val="en-GB"/>
        </w:rPr>
        <w:t>were used</w:t>
      </w:r>
      <w:r w:rsidR="007951DC">
        <w:rPr>
          <w:lang w:val="en-GB"/>
        </w:rPr>
        <w:t xml:space="preserve"> f</w:t>
      </w:r>
      <w:r w:rsidR="007951DC" w:rsidRPr="536C86A4">
        <w:rPr>
          <w:lang w:val="en-GB"/>
        </w:rPr>
        <w:t xml:space="preserve">or the </w:t>
      </w:r>
      <w:r w:rsidR="007951DC">
        <w:rPr>
          <w:lang w:val="en-GB"/>
        </w:rPr>
        <w:t>Pliofilm</w:t>
      </w:r>
      <w:r w:rsidR="007951DC" w:rsidRPr="536C86A4">
        <w:rPr>
          <w:lang w:val="en-GB"/>
        </w:rPr>
        <w:t xml:space="preserve"> study</w:t>
      </w:r>
      <w:r w:rsidR="3C3ADFD0" w:rsidRPr="536C86A4">
        <w:rPr>
          <w:lang w:val="en-GB"/>
        </w:rPr>
        <w:t xml:space="preserve">. </w:t>
      </w:r>
      <w:r w:rsidR="63E63280" w:rsidRPr="536C86A4">
        <w:rPr>
          <w:lang w:val="en-GB"/>
        </w:rPr>
        <w:t xml:space="preserve">For the </w:t>
      </w:r>
      <w:hyperlink w:anchor="_ENREF_22" w:tooltip="Linet, 2019 #1029" w:history="1">
        <w:r w:rsidR="004C59A6">
          <w:rPr>
            <w:lang w:val="en-GB"/>
          </w:rPr>
          <w:fldChar w:fldCharType="begin"/>
        </w:r>
        <w:r w:rsidR="004C59A6">
          <w:rPr>
            <w:lang w:val="en-GB"/>
          </w:rPr>
          <w:instrText xml:space="preserve"> ADDIN EN.CITE &lt;EndNote&gt;&lt;Cite AuthorYear="1"&gt;&lt;Author&gt;Linet&lt;/Author&gt;&lt;Year&gt;2019&lt;/Year&gt;&lt;RecNum&gt;1029&lt;/RecNum&gt;&lt;DisplayText&gt;Linet et al. (2019)&lt;/DisplayText&gt;&lt;record&gt;&lt;rec-number&gt;1029&lt;/rec-number&gt;&lt;foreign-keys&gt;&lt;key app="EN" db-id="0d0929f959rse9ex25rp09za5avf0ept9spf" timestamp="1564693684"&gt;1029&lt;/key&gt;&lt;/foreign-keys&gt;&lt;ref-type name="Journal Article"&gt;17&lt;/ref-type&gt;&lt;contributors&gt;&lt;authors&gt;&lt;author&gt;Linet, Martha S&lt;/author&gt;&lt;author&gt;Gilbert, Ethel S&lt;/author&gt;&lt;author&gt;Vermeulen, Roel&lt;/author&gt;&lt;author&gt;Dores, Graça M&lt;/author&gt;&lt;author&gt;Yin, Song-Nian&lt;/author&gt;&lt;author&gt;Portengen, Lutzen&lt;/author&gt;&lt;author&gt;Hayes, Richard B&lt;/author&gt;&lt;author&gt;Ji, Bu-Tian&lt;/author&gt;&lt;author&gt;Lan, Qing&lt;/author&gt;&lt;author&gt;Li, Gui-Lan&lt;/author&gt;&lt;author&gt;Rothman, Nathaniel&lt;/author&gt;&lt;author&gt;Chinese Center for Disease Control&lt;/author&gt;&lt;author&gt;Prevention–US National Cancer Institute Benzene Study Group&lt;/author&gt;&lt;/authors&gt;&lt;/contributors&gt;&lt;titles&gt;&lt;title&gt;Benzene Exposure Response and Risk of Myeloid Neoplasms in Chinese Workers: A Multicenter Case–Cohort Study&lt;/title&gt;&lt;secondary-title&gt;JNCI: Journal of the National Cancer Institute&lt;/secondary-title&gt;&lt;/titles&gt;&lt;periodical&gt;&lt;full-title&gt;JNCI: Journal of the National Cancer Institute&lt;/full-title&gt;&lt;/periodical&gt;&lt;pages&gt;465-474&lt;/pages&gt;&lt;volume&gt;111&lt;/volume&gt;&lt;number&gt;5&lt;/number&gt;&lt;dates&gt;&lt;year&gt;2019&lt;/year&gt;&lt;/dates&gt;&lt;isbn&gt;0027-8874&lt;/isbn&gt;&lt;urls&gt;&lt;related-urls&gt;&lt;url&gt;https://doi.org/10.1093/jnci/djy143&lt;/url&gt;&lt;/related-urls&gt;&lt;/urls&gt;&lt;electronic-resource-num&gt;10.1093/jnci/djy143&lt;/electronic-resource-num&gt;&lt;access-date&gt;8/1/2019&lt;/access-date&gt;&lt;/record&gt;&lt;/Cite&gt;&lt;/EndNote&gt;</w:instrText>
        </w:r>
        <w:r w:rsidR="004C59A6">
          <w:rPr>
            <w:lang w:val="en-GB"/>
          </w:rPr>
          <w:fldChar w:fldCharType="separate"/>
        </w:r>
        <w:r w:rsidR="004C59A6">
          <w:rPr>
            <w:noProof/>
            <w:lang w:val="en-GB"/>
          </w:rPr>
          <w:t>Linet et al. (2019)</w:t>
        </w:r>
        <w:r w:rsidR="004C59A6">
          <w:rPr>
            <w:lang w:val="en-GB"/>
          </w:rPr>
          <w:fldChar w:fldCharType="end"/>
        </w:r>
      </w:hyperlink>
      <w:r w:rsidR="0000542F">
        <w:rPr>
          <w:lang w:val="en-GB"/>
        </w:rPr>
        <w:t xml:space="preserve"> </w:t>
      </w:r>
      <w:r w:rsidR="63E63280" w:rsidRPr="536C86A4">
        <w:rPr>
          <w:lang w:val="en-GB"/>
        </w:rPr>
        <w:t xml:space="preserve">study, both lag periods (2-10 and &gt;10) were summed to make the </w:t>
      </w:r>
      <w:r w:rsidR="0084577C">
        <w:rPr>
          <w:lang w:val="en-GB"/>
        </w:rPr>
        <w:t>ED01</w:t>
      </w:r>
      <w:r w:rsidR="63E63280" w:rsidRPr="536C86A4">
        <w:rPr>
          <w:lang w:val="en-GB"/>
        </w:rPr>
        <w:t xml:space="preserve"> comparable to the </w:t>
      </w:r>
      <w:r w:rsidR="01D9D287" w:rsidRPr="536C86A4">
        <w:rPr>
          <w:lang w:val="en-GB"/>
        </w:rPr>
        <w:t xml:space="preserve">other studies, in which all lag periods were used. </w:t>
      </w:r>
      <w:r w:rsidR="60A005AE" w:rsidRPr="536C86A4">
        <w:rPr>
          <w:lang w:val="en-GB"/>
        </w:rPr>
        <w:t>For three of the six studies, two ED</w:t>
      </w:r>
      <w:r w:rsidR="0501D8C9" w:rsidRPr="536C86A4">
        <w:rPr>
          <w:lang w:val="en-GB"/>
        </w:rPr>
        <w:t xml:space="preserve">01 </w:t>
      </w:r>
      <w:r w:rsidR="5B9EAFCC" w:rsidRPr="536C86A4">
        <w:rPr>
          <w:lang w:val="en-GB"/>
        </w:rPr>
        <w:t xml:space="preserve">values </w:t>
      </w:r>
      <w:r w:rsidR="0501D8C9" w:rsidRPr="536C86A4">
        <w:rPr>
          <w:lang w:val="en-GB"/>
        </w:rPr>
        <w:t>were calculated</w:t>
      </w:r>
      <w:r w:rsidR="58276F61" w:rsidRPr="536C86A4">
        <w:rPr>
          <w:lang w:val="en-GB"/>
        </w:rPr>
        <w:t>: one</w:t>
      </w:r>
      <w:r w:rsidR="0501D8C9" w:rsidRPr="536C86A4">
        <w:rPr>
          <w:lang w:val="en-GB"/>
        </w:rPr>
        <w:t xml:space="preserve"> </w:t>
      </w:r>
      <w:r w:rsidR="01D9D287" w:rsidRPr="536C86A4">
        <w:rPr>
          <w:lang w:val="en-GB"/>
        </w:rPr>
        <w:t>using the ze</w:t>
      </w:r>
      <w:r w:rsidR="30601627" w:rsidRPr="536C86A4">
        <w:rPr>
          <w:lang w:val="en-GB"/>
        </w:rPr>
        <w:t>r</w:t>
      </w:r>
      <w:r w:rsidR="01D9D287" w:rsidRPr="536C86A4">
        <w:rPr>
          <w:lang w:val="en-GB"/>
        </w:rPr>
        <w:t xml:space="preserve">o exposure group and another </w:t>
      </w:r>
      <w:r w:rsidR="426AE9F7" w:rsidRPr="536C86A4">
        <w:rPr>
          <w:lang w:val="en-GB"/>
        </w:rPr>
        <w:t>using only po</w:t>
      </w:r>
      <w:r w:rsidR="3EE6FB84" w:rsidRPr="536C86A4">
        <w:rPr>
          <w:lang w:val="en-GB"/>
        </w:rPr>
        <w:t>s</w:t>
      </w:r>
      <w:r w:rsidR="426AE9F7" w:rsidRPr="536C86A4">
        <w:rPr>
          <w:lang w:val="en-GB"/>
        </w:rPr>
        <w:t xml:space="preserve">itive exposure values, recognizing that the control group may not be ideal. </w:t>
      </w:r>
      <w:r w:rsidR="0000542F">
        <w:rPr>
          <w:lang w:val="en-GB"/>
        </w:rPr>
        <w:t>A</w:t>
      </w:r>
      <w:r w:rsidR="00334936" w:rsidRPr="536C86A4">
        <w:rPr>
          <w:lang w:val="en-GB"/>
        </w:rPr>
        <w:t xml:space="preserve">n </w:t>
      </w:r>
      <w:r w:rsidR="00AE373D" w:rsidRPr="536C86A4">
        <w:rPr>
          <w:lang w:val="en-GB"/>
        </w:rPr>
        <w:t xml:space="preserve">overall </w:t>
      </w:r>
      <w:r w:rsidR="00334936" w:rsidRPr="536C86A4">
        <w:rPr>
          <w:lang w:val="en-GB"/>
        </w:rPr>
        <w:t xml:space="preserve">average </w:t>
      </w:r>
      <w:r w:rsidR="00AE373D" w:rsidRPr="536C86A4">
        <w:rPr>
          <w:lang w:val="en-GB"/>
        </w:rPr>
        <w:t xml:space="preserve">of </w:t>
      </w:r>
      <w:r w:rsidR="39E56CE9" w:rsidRPr="536C86A4">
        <w:rPr>
          <w:lang w:val="en-GB"/>
        </w:rPr>
        <w:t>378</w:t>
      </w:r>
      <w:r w:rsidR="00334936" w:rsidRPr="536C86A4">
        <w:rPr>
          <w:lang w:val="en-GB"/>
        </w:rPr>
        <w:t xml:space="preserve"> </w:t>
      </w:r>
      <w:r w:rsidR="00EE7765">
        <w:rPr>
          <w:lang w:val="en-GB"/>
        </w:rPr>
        <w:t xml:space="preserve">ppm-years </w:t>
      </w:r>
      <w:r w:rsidR="4C6D4CAF" w:rsidRPr="536C86A4">
        <w:rPr>
          <w:lang w:val="en-GB"/>
        </w:rPr>
        <w:t xml:space="preserve"> was calculated</w:t>
      </w:r>
      <w:r w:rsidR="00167F8A" w:rsidRPr="536C86A4">
        <w:rPr>
          <w:lang w:val="en-GB"/>
        </w:rPr>
        <w:t xml:space="preserve"> </w:t>
      </w:r>
      <w:r w:rsidR="00334936" w:rsidRPr="00CD48FA">
        <w:rPr>
          <w:lang w:val="en-GB"/>
        </w:rPr>
        <w:t xml:space="preserve">from </w:t>
      </w:r>
      <w:r w:rsidR="381E5049" w:rsidRPr="536C86A4">
        <w:rPr>
          <w:lang w:val="en-GB"/>
        </w:rPr>
        <w:t xml:space="preserve">the </w:t>
      </w:r>
      <w:r w:rsidR="004806C1">
        <w:rPr>
          <w:lang w:val="en-GB"/>
        </w:rPr>
        <w:t>six study populations</w:t>
      </w:r>
      <w:r w:rsidR="0000542F">
        <w:rPr>
          <w:lang w:val="en-GB"/>
        </w:rPr>
        <w:t>.</w:t>
      </w:r>
      <w:r w:rsidR="00EE7765">
        <w:rPr>
          <w:lang w:val="en-GB"/>
        </w:rPr>
        <w:t xml:space="preserve"> Utilizing a 20 year cancer latency period</w:t>
      </w:r>
      <w:r w:rsidR="00832F8A" w:rsidRPr="536C86A4">
        <w:rPr>
          <w:lang w:val="en-GB"/>
        </w:rPr>
        <w:t xml:space="preserve"> </w:t>
      </w:r>
      <w:r w:rsidR="00334936" w:rsidRPr="536C86A4">
        <w:rPr>
          <w:lang w:val="en-GB"/>
        </w:rPr>
        <w:fldChar w:fldCharType="begin"/>
      </w:r>
      <w:r w:rsidR="00832F8A">
        <w:rPr>
          <w:lang w:val="en-GB"/>
        </w:rPr>
        <w:instrText xml:space="preserve"> ADDIN EN.CITE &lt;EndNote&gt;&lt;Cite&gt;&lt;Author&gt;Richardson&lt;/Author&gt;&lt;Year&gt;2008&lt;/Year&gt;&lt;RecNum&gt;689&lt;/RecNum&gt;&lt;DisplayText&gt;(Richardson, 2008)&lt;/DisplayText&gt;&lt;record&gt;&lt;rec-number&gt;689&lt;/rec-number&gt;&lt;foreign-keys&gt;&lt;key app="EN" db-id="0d0929f959rse9ex25rp09za5avf0ept9spf" timestamp="1501688620"&gt;689&lt;/key&gt;&lt;/foreign-keys&gt;&lt;ref-type name="Journal Article"&gt;17&lt;/ref-type&gt;&lt;contributors&gt;&lt;authors&gt;&lt;author&gt;Richardson, David B.&lt;/author&gt;&lt;/authors&gt;&lt;/contributors&gt;&lt;titles&gt;&lt;title&gt;Temporal Variation in the Association between Benzene and Leukemia Mortality&lt;/title&gt;&lt;secondary-title&gt;Environmental Health Perspectives&lt;/secondary-title&gt;&lt;/titles&gt;&lt;periodical&gt;&lt;full-title&gt;Environmental Health Perspectives&lt;/full-title&gt;&lt;/periodical&gt;&lt;pages&gt;370-374&lt;/pages&gt;&lt;volume&gt;116&lt;/volume&gt;&lt;number&gt;3&lt;/number&gt;&lt;dates&gt;&lt;year&gt;2008&lt;/year&gt;&lt;pub-dates&gt;&lt;date&gt;01/02&amp;#xD;09/04/received&amp;#xD;01/02/accepted&lt;/date&gt;&lt;/pub-dates&gt;&lt;/dates&gt;&lt;publisher&gt;National Institute of Environmental Health Sciences&lt;/publisher&gt;&lt;isbn&gt;0091-6765&amp;#xD;1552-9924&lt;/isbn&gt;&lt;accession-num&gt;PMC2265049&lt;/accession-num&gt;&lt;urls&gt;&lt;related-urls&gt;&lt;url&gt;http://www.ncbi.nlm.nih.gov/pmc/articles/PMC2265049/&lt;/url&gt;&lt;/related-urls&gt;&lt;/urls&gt;&lt;electronic-resource-num&gt;10.1289/ehp.10841&lt;/electronic-resource-num&gt;&lt;remote-database-name&gt;PMC&lt;/remote-database-name&gt;&lt;/record&gt;&lt;/Cite&gt;&lt;/EndNote&gt;</w:instrText>
      </w:r>
      <w:r w:rsidR="00334936" w:rsidRPr="536C86A4">
        <w:rPr>
          <w:lang w:val="en-GB"/>
        </w:rPr>
        <w:fldChar w:fldCharType="separate"/>
      </w:r>
      <w:r w:rsidR="00832F8A">
        <w:rPr>
          <w:noProof/>
          <w:lang w:val="en-GB"/>
        </w:rPr>
        <w:t>(</w:t>
      </w:r>
      <w:hyperlink w:anchor="_ENREF_26" w:tooltip="Richardson, 2008 #689" w:history="1">
        <w:r w:rsidR="004C59A6">
          <w:rPr>
            <w:noProof/>
            <w:lang w:val="en-GB"/>
          </w:rPr>
          <w:t>Richardson, 2008</w:t>
        </w:r>
      </w:hyperlink>
      <w:r w:rsidR="00832F8A">
        <w:rPr>
          <w:noProof/>
          <w:lang w:val="en-GB"/>
        </w:rPr>
        <w:t>)</w:t>
      </w:r>
      <w:r w:rsidR="00334936" w:rsidRPr="536C86A4">
        <w:rPr>
          <w:lang w:val="en-GB"/>
        </w:rPr>
        <w:fldChar w:fldCharType="end"/>
      </w:r>
      <w:r w:rsidR="00EE7765">
        <w:rPr>
          <w:lang w:val="en-GB"/>
        </w:rPr>
        <w:t xml:space="preserve">, this calculates to </w:t>
      </w:r>
      <w:r w:rsidR="0285E899">
        <w:rPr>
          <w:lang w:val="en-GB"/>
        </w:rPr>
        <w:t xml:space="preserve">18.9 </w:t>
      </w:r>
      <w:r w:rsidR="00EE7765">
        <w:rPr>
          <w:lang w:val="en-GB"/>
        </w:rPr>
        <w:t xml:space="preserve">ppm, or </w:t>
      </w:r>
      <w:r w:rsidR="347C94EA">
        <w:rPr>
          <w:lang w:val="en-GB"/>
        </w:rPr>
        <w:t xml:space="preserve">60 </w:t>
      </w:r>
      <w:r w:rsidR="00EE7765">
        <w:rPr>
          <w:lang w:val="en-GB"/>
        </w:rPr>
        <w:t>mg/m</w:t>
      </w:r>
      <w:r w:rsidR="00EE7765">
        <w:rPr>
          <w:vertAlign w:val="superscript"/>
          <w:lang w:val="en-GB"/>
        </w:rPr>
        <w:t>3</w:t>
      </w:r>
      <w:r w:rsidR="00EE7765">
        <w:rPr>
          <w:lang w:val="en-GB"/>
        </w:rPr>
        <w:t>. On that basis, the risk models were derived using</w:t>
      </w:r>
      <w:r w:rsidR="5606E3F7">
        <w:rPr>
          <w:lang w:val="en-GB"/>
        </w:rPr>
        <w:t xml:space="preserve"> </w:t>
      </w:r>
      <w:r w:rsidR="0000542F">
        <w:rPr>
          <w:lang w:val="en-GB"/>
        </w:rPr>
        <w:t>60 mg/m</w:t>
      </w:r>
      <w:r w:rsidR="0000542F">
        <w:rPr>
          <w:vertAlign w:val="superscript"/>
          <w:lang w:val="en-GB"/>
        </w:rPr>
        <w:t>3</w:t>
      </w:r>
      <w:r w:rsidR="0000542F">
        <w:rPr>
          <w:lang w:val="en-GB"/>
        </w:rPr>
        <w:t xml:space="preserve"> as the </w:t>
      </w:r>
      <w:r w:rsidR="003434AF">
        <w:rPr>
          <w:lang w:val="en-GB"/>
        </w:rPr>
        <w:t xml:space="preserve">ED01 </w:t>
      </w:r>
      <w:r w:rsidR="0000542F">
        <w:rPr>
          <w:lang w:val="en-GB"/>
        </w:rPr>
        <w:t>upper anchor point.</w:t>
      </w:r>
    </w:p>
    <w:p w14:paraId="0E668AB2" w14:textId="77777777" w:rsidR="00334936" w:rsidRPr="00CD48FA" w:rsidRDefault="00334936" w:rsidP="001177B7">
      <w:pPr>
        <w:rPr>
          <w:lang w:val="en-GB"/>
        </w:rPr>
      </w:pPr>
      <w:commentRangeStart w:id="13"/>
      <w:commentRangeEnd w:id="13"/>
    </w:p>
    <w:p w14:paraId="3ACE3A33" w14:textId="0657E906" w:rsidR="0084577C" w:rsidRDefault="0084577C" w:rsidP="003E1538">
      <w:pPr>
        <w:pStyle w:val="Caption"/>
        <w:keepNext/>
      </w:pPr>
      <w:bookmarkStart w:id="14" w:name="_Ref45293075"/>
      <w:r>
        <w:t xml:space="preserve">Table </w:t>
      </w:r>
      <w:r>
        <w:fldChar w:fldCharType="begin"/>
      </w:r>
      <w:r>
        <w:instrText xml:space="preserve"> SEQ Table \* ARABIC </w:instrText>
      </w:r>
      <w:r>
        <w:fldChar w:fldCharType="separate"/>
      </w:r>
      <w:r>
        <w:rPr>
          <w:noProof/>
        </w:rPr>
        <w:t>1</w:t>
      </w:r>
      <w:r>
        <w:fldChar w:fldCharType="end"/>
      </w:r>
      <w:bookmarkEnd w:id="14"/>
      <w:r>
        <w:t xml:space="preserve">. </w:t>
      </w:r>
      <w:r w:rsidRPr="00455B13">
        <w:t>ED01 Values (ppm-years) for Six Benzene Study Populations</w:t>
      </w:r>
    </w:p>
    <w:tbl>
      <w:tblPr>
        <w:tblStyle w:val="TableGrid"/>
        <w:tblW w:w="0" w:type="auto"/>
        <w:tblLayout w:type="fixed"/>
        <w:tblLook w:val="06A0" w:firstRow="1" w:lastRow="0" w:firstColumn="1" w:lastColumn="0" w:noHBand="1" w:noVBand="1"/>
      </w:tblPr>
      <w:tblGrid>
        <w:gridCol w:w="2160"/>
        <w:gridCol w:w="1530"/>
        <w:gridCol w:w="1635"/>
        <w:gridCol w:w="1245"/>
        <w:gridCol w:w="1500"/>
        <w:gridCol w:w="1290"/>
      </w:tblGrid>
      <w:tr w:rsidR="536C86A4" w14:paraId="6BB320CB" w14:textId="77777777" w:rsidTr="003E1538">
        <w:tc>
          <w:tcPr>
            <w:tcW w:w="2160" w:type="dxa"/>
          </w:tcPr>
          <w:p w14:paraId="73EC6C35" w14:textId="222605D1" w:rsidR="36D931FC" w:rsidRDefault="36D931FC" w:rsidP="536C86A4">
            <w:pPr>
              <w:rPr>
                <w:lang w:val="en-GB"/>
              </w:rPr>
            </w:pPr>
            <w:r w:rsidRPr="536C86A4">
              <w:rPr>
                <w:lang w:val="en-GB"/>
              </w:rPr>
              <w:t>Study (ref)</w:t>
            </w:r>
          </w:p>
        </w:tc>
        <w:tc>
          <w:tcPr>
            <w:tcW w:w="1530" w:type="dxa"/>
          </w:tcPr>
          <w:p w14:paraId="68BA5784" w14:textId="3B50EF2C" w:rsidR="00F4DCDA" w:rsidRDefault="00F4DCDA" w:rsidP="003E1538">
            <w:pPr>
              <w:spacing w:line="259" w:lineRule="auto"/>
              <w:rPr>
                <w:lang w:val="en-GB"/>
              </w:rPr>
            </w:pPr>
            <w:r w:rsidRPr="536C86A4">
              <w:rPr>
                <w:lang w:val="en-GB"/>
              </w:rPr>
              <w:t xml:space="preserve">Description </w:t>
            </w:r>
            <w:r w:rsidR="0000542F">
              <w:rPr>
                <w:lang w:val="en-GB"/>
              </w:rPr>
              <w:t>First Value</w:t>
            </w:r>
          </w:p>
        </w:tc>
        <w:tc>
          <w:tcPr>
            <w:tcW w:w="1635" w:type="dxa"/>
          </w:tcPr>
          <w:p w14:paraId="1719D31A" w14:textId="34927D59" w:rsidR="00F4DCDA" w:rsidRDefault="00F4DCDA" w:rsidP="0000542F">
            <w:pPr>
              <w:rPr>
                <w:lang w:val="en-GB"/>
              </w:rPr>
            </w:pPr>
            <w:r w:rsidRPr="536C86A4">
              <w:rPr>
                <w:lang w:val="en-GB"/>
              </w:rPr>
              <w:t xml:space="preserve">Description </w:t>
            </w:r>
            <w:r w:rsidR="0000542F">
              <w:rPr>
                <w:lang w:val="en-GB"/>
              </w:rPr>
              <w:t>Second Value</w:t>
            </w:r>
          </w:p>
        </w:tc>
        <w:tc>
          <w:tcPr>
            <w:tcW w:w="1245" w:type="dxa"/>
          </w:tcPr>
          <w:p w14:paraId="775EA6FA" w14:textId="17DDDD68" w:rsidR="5088EEAE" w:rsidRDefault="5088EEAE" w:rsidP="007951DC">
            <w:pPr>
              <w:jc w:val="center"/>
              <w:rPr>
                <w:lang w:val="en-GB"/>
              </w:rPr>
            </w:pPr>
            <w:r w:rsidRPr="536C86A4">
              <w:rPr>
                <w:lang w:val="en-GB"/>
              </w:rPr>
              <w:t>First</w:t>
            </w:r>
            <w:r w:rsidR="36D931FC" w:rsidRPr="536C86A4">
              <w:rPr>
                <w:lang w:val="en-GB"/>
              </w:rPr>
              <w:t xml:space="preserve"> Value</w:t>
            </w:r>
          </w:p>
        </w:tc>
        <w:tc>
          <w:tcPr>
            <w:tcW w:w="1500" w:type="dxa"/>
          </w:tcPr>
          <w:p w14:paraId="251AB943" w14:textId="6FBB4FAD" w:rsidR="5958385A" w:rsidRDefault="5958385A" w:rsidP="007951DC">
            <w:pPr>
              <w:jc w:val="center"/>
              <w:rPr>
                <w:lang w:val="en-GB"/>
              </w:rPr>
            </w:pPr>
            <w:r w:rsidRPr="536C86A4">
              <w:rPr>
                <w:lang w:val="en-GB"/>
              </w:rPr>
              <w:t>Second Value</w:t>
            </w:r>
          </w:p>
        </w:tc>
        <w:tc>
          <w:tcPr>
            <w:tcW w:w="1290" w:type="dxa"/>
          </w:tcPr>
          <w:p w14:paraId="5789FB6F" w14:textId="2967C43B" w:rsidR="36D931FC" w:rsidRDefault="36D931FC" w:rsidP="007951DC">
            <w:pPr>
              <w:jc w:val="center"/>
              <w:rPr>
                <w:lang w:val="en-GB"/>
              </w:rPr>
            </w:pPr>
            <w:r w:rsidRPr="536C86A4">
              <w:rPr>
                <w:lang w:val="en-GB"/>
              </w:rPr>
              <w:t>Final Value</w:t>
            </w:r>
          </w:p>
        </w:tc>
      </w:tr>
      <w:tr w:rsidR="536C86A4" w14:paraId="7C19841F" w14:textId="77777777" w:rsidTr="003E1538">
        <w:tc>
          <w:tcPr>
            <w:tcW w:w="2160" w:type="dxa"/>
          </w:tcPr>
          <w:p w14:paraId="57DE00EE" w14:textId="228F0B20" w:rsidR="36D931FC" w:rsidRDefault="36D931FC" w:rsidP="004C59A6">
            <w:pPr>
              <w:rPr>
                <w:lang w:val="en-GB"/>
              </w:rPr>
            </w:pPr>
            <w:r w:rsidRPr="536C86A4">
              <w:rPr>
                <w:lang w:val="en-GB"/>
              </w:rPr>
              <w:t xml:space="preserve">Pliofilm </w:t>
            </w:r>
            <w:r w:rsidR="00224020">
              <w:rPr>
                <w:lang w:val="en-GB"/>
              </w:rPr>
              <w:fldChar w:fldCharType="begin"/>
            </w:r>
            <w:r w:rsidR="00224020">
              <w:rPr>
                <w:lang w:val="en-GB"/>
              </w:rPr>
              <w:instrText xml:space="preserve"> ADDIN EN.CITE &lt;EndNote&gt;&lt;Cite&gt;&lt;Author&gt;Rhomberg&lt;/Author&gt;&lt;Year&gt;2016&lt;/Year&gt;&lt;RecNum&gt;672&lt;/RecNum&gt;&lt;DisplayText&gt;(Rhomberg et al., 2016)&lt;/DisplayText&gt;&lt;record&gt;&lt;rec-number&gt;672&lt;/rec-number&gt;&lt;foreign-keys&gt;&lt;key app="EN" db-id="0d0929f959rse9ex25rp09za5avf0ept9spf" timestamp="1501269228"&gt;672&lt;/key&gt;&lt;/foreign-keys&gt;&lt;ref-type name="Journal Article"&gt;17&lt;/ref-type&gt;&lt;contributors&gt;&lt;authors&gt;&lt;author&gt;Rhomberg, Lorenz&lt;/author&gt;&lt;author&gt;Goodman, Julie&lt;/author&gt;&lt;author&gt;Tao, Ge&lt;/author&gt;&lt;author&gt;Zu, Ke&lt;/author&gt;&lt;author&gt;Chandalia, Juhi&lt;/author&gt;&lt;author&gt;Williams, Pamela R.D.&lt;/author&gt;&lt;author&gt;Allen, Bruce&lt;/author&gt;&lt;/authors&gt;&lt;/contributors&gt;&lt;titles&gt;&lt;title&gt;Evaluation of Acute Nonlymphocytic Leukemia and Its Subtypes With Updated Benzene Exposure and Mortality Estimates: A Lifetable Analysis of the Pliofilm Cohort&lt;/title&gt;&lt;secondary-title&gt;Journal of Occupational and Environmental Medicine&lt;/secondary-title&gt;&lt;/titles&gt;&lt;periodical&gt;&lt;full-title&gt;Journal of Occupational and Environmental Medicine&lt;/full-title&gt;&lt;/periodical&gt;&lt;pages&gt;414-420&lt;/pages&gt;&lt;volume&gt;58&lt;/volume&gt;&lt;number&gt;4&lt;/number&gt;&lt;dates&gt;&lt;year&gt;2016&lt;/year&gt;&lt;/dates&gt;&lt;isbn&gt;1076-2752&lt;/isbn&gt;&lt;accession-num&gt;00043764-201604000-00015&lt;/accession-num&gt;&lt;urls&gt;&lt;related-urls&gt;&lt;url&gt;http://journals.lww.com/joem/Fulltext/2016/04000/Evaluation_of_Acute_Nonlymphocytic_Leukemia_and.15.aspx&lt;/url&gt;&lt;/related-urls&gt;&lt;/urls&gt;&lt;electronic-resource-num&gt;10.1097/jom.0000000000000689&lt;/electronic-resource-num&gt;&lt;/record&gt;&lt;/Cite&gt;&lt;/EndNote&gt;</w:instrText>
            </w:r>
            <w:r w:rsidR="00224020">
              <w:rPr>
                <w:lang w:val="en-GB"/>
              </w:rPr>
              <w:fldChar w:fldCharType="separate"/>
            </w:r>
            <w:r w:rsidR="00224020">
              <w:rPr>
                <w:noProof/>
                <w:lang w:val="en-GB"/>
              </w:rPr>
              <w:t>(</w:t>
            </w:r>
            <w:hyperlink w:anchor="_ENREF_25" w:tooltip="Rhomberg, 2016 #672" w:history="1">
              <w:r w:rsidR="004C59A6">
                <w:rPr>
                  <w:noProof/>
                  <w:lang w:val="en-GB"/>
                </w:rPr>
                <w:t>Rhomberg et al., 2016</w:t>
              </w:r>
            </w:hyperlink>
            <w:r w:rsidR="00224020">
              <w:rPr>
                <w:noProof/>
                <w:lang w:val="en-GB"/>
              </w:rPr>
              <w:t>)</w:t>
            </w:r>
            <w:r w:rsidR="00224020">
              <w:rPr>
                <w:lang w:val="en-GB"/>
              </w:rPr>
              <w:fldChar w:fldCharType="end"/>
            </w:r>
          </w:p>
        </w:tc>
        <w:tc>
          <w:tcPr>
            <w:tcW w:w="1530" w:type="dxa"/>
          </w:tcPr>
          <w:p w14:paraId="7BD7C7F7" w14:textId="3939E8F3" w:rsidR="36D931FC" w:rsidRDefault="36D931FC" w:rsidP="536C86A4">
            <w:pPr>
              <w:rPr>
                <w:lang w:val="en-GB"/>
              </w:rPr>
            </w:pPr>
            <w:r w:rsidRPr="536C86A4">
              <w:rPr>
                <w:lang w:val="en-GB"/>
              </w:rPr>
              <w:t>Quintile</w:t>
            </w:r>
            <w:r w:rsidR="26E64650" w:rsidRPr="536C86A4">
              <w:rPr>
                <w:lang w:val="en-GB"/>
              </w:rPr>
              <w:t>s</w:t>
            </w:r>
          </w:p>
        </w:tc>
        <w:tc>
          <w:tcPr>
            <w:tcW w:w="1635" w:type="dxa"/>
          </w:tcPr>
          <w:p w14:paraId="1591F874" w14:textId="3233A086" w:rsidR="26E64650" w:rsidRDefault="26E64650" w:rsidP="536C86A4">
            <w:pPr>
              <w:rPr>
                <w:lang w:val="en-GB"/>
              </w:rPr>
            </w:pPr>
            <w:r w:rsidRPr="536C86A4">
              <w:rPr>
                <w:lang w:val="en-GB"/>
              </w:rPr>
              <w:t>Rinsky Categories</w:t>
            </w:r>
          </w:p>
        </w:tc>
        <w:tc>
          <w:tcPr>
            <w:tcW w:w="1245" w:type="dxa"/>
          </w:tcPr>
          <w:p w14:paraId="6E00AA00" w14:textId="6262A8CD" w:rsidR="26E64650" w:rsidRDefault="26E64650" w:rsidP="007951DC">
            <w:pPr>
              <w:jc w:val="center"/>
              <w:rPr>
                <w:lang w:val="en-GB"/>
              </w:rPr>
            </w:pPr>
            <w:r w:rsidRPr="536C86A4">
              <w:rPr>
                <w:lang w:val="en-GB"/>
              </w:rPr>
              <w:t>98.2</w:t>
            </w:r>
          </w:p>
        </w:tc>
        <w:tc>
          <w:tcPr>
            <w:tcW w:w="1500" w:type="dxa"/>
          </w:tcPr>
          <w:p w14:paraId="705371D2" w14:textId="0DF287E1" w:rsidR="26E64650" w:rsidRDefault="26E64650" w:rsidP="007951DC">
            <w:pPr>
              <w:jc w:val="center"/>
              <w:rPr>
                <w:lang w:val="en-GB"/>
              </w:rPr>
            </w:pPr>
            <w:r w:rsidRPr="536C86A4">
              <w:rPr>
                <w:lang w:val="en-GB"/>
              </w:rPr>
              <w:t>15</w:t>
            </w:r>
            <w:r w:rsidR="6C26F5CD" w:rsidRPr="536C86A4">
              <w:rPr>
                <w:lang w:val="en-GB"/>
              </w:rPr>
              <w:t>1</w:t>
            </w:r>
          </w:p>
        </w:tc>
        <w:tc>
          <w:tcPr>
            <w:tcW w:w="1290" w:type="dxa"/>
          </w:tcPr>
          <w:p w14:paraId="73F03910" w14:textId="6CF26972" w:rsidR="26E64650" w:rsidRDefault="26E64650" w:rsidP="007951DC">
            <w:pPr>
              <w:jc w:val="center"/>
              <w:rPr>
                <w:lang w:val="en-GB"/>
              </w:rPr>
            </w:pPr>
            <w:r w:rsidRPr="536C86A4">
              <w:rPr>
                <w:lang w:val="en-GB"/>
              </w:rPr>
              <w:t>12</w:t>
            </w:r>
            <w:r w:rsidR="5EC0B9BE" w:rsidRPr="536C86A4">
              <w:rPr>
                <w:lang w:val="en-GB"/>
              </w:rPr>
              <w:t>5</w:t>
            </w:r>
          </w:p>
        </w:tc>
      </w:tr>
      <w:tr w:rsidR="536C86A4" w14:paraId="762207C3" w14:textId="77777777" w:rsidTr="003E1538">
        <w:tc>
          <w:tcPr>
            <w:tcW w:w="2160" w:type="dxa"/>
          </w:tcPr>
          <w:p w14:paraId="606B33FB" w14:textId="50B9D17A" w:rsidR="36D931FC" w:rsidRDefault="36D931FC" w:rsidP="536C86A4">
            <w:pPr>
              <w:rPr>
                <w:lang w:val="en-GB"/>
              </w:rPr>
            </w:pPr>
            <w:r w:rsidRPr="536C86A4">
              <w:rPr>
                <w:lang w:val="en-GB"/>
              </w:rPr>
              <w:t>NCI/CAPM (Linet, 2019)</w:t>
            </w:r>
            <w:r w:rsidR="5E0B6EA7" w:rsidRPr="536C86A4">
              <w:rPr>
                <w:vertAlign w:val="superscript"/>
                <w:lang w:val="en-GB"/>
              </w:rPr>
              <w:t>1</w:t>
            </w:r>
          </w:p>
        </w:tc>
        <w:tc>
          <w:tcPr>
            <w:tcW w:w="1530" w:type="dxa"/>
          </w:tcPr>
          <w:p w14:paraId="210A7265" w14:textId="3C19B154" w:rsidR="3EF3D084" w:rsidRDefault="3EF3D084" w:rsidP="536C86A4">
            <w:pPr>
              <w:rPr>
                <w:lang w:val="en-GB"/>
              </w:rPr>
            </w:pPr>
            <w:r w:rsidRPr="536C86A4">
              <w:rPr>
                <w:lang w:val="en-GB"/>
              </w:rPr>
              <w:t xml:space="preserve">Exclude </w:t>
            </w:r>
            <w:r w:rsidR="2385E15C" w:rsidRPr="536C86A4">
              <w:rPr>
                <w:lang w:val="en-GB"/>
              </w:rPr>
              <w:t>zero</w:t>
            </w:r>
            <w:r w:rsidR="430038E6" w:rsidRPr="536C86A4">
              <w:rPr>
                <w:lang w:val="en-GB"/>
              </w:rPr>
              <w:t xml:space="preserve"> exposure</w:t>
            </w:r>
          </w:p>
        </w:tc>
        <w:tc>
          <w:tcPr>
            <w:tcW w:w="1635" w:type="dxa"/>
          </w:tcPr>
          <w:p w14:paraId="02F5B988" w14:textId="368F3680" w:rsidR="430038E6" w:rsidRDefault="430038E6" w:rsidP="536C86A4">
            <w:pPr>
              <w:rPr>
                <w:lang w:val="en-GB"/>
              </w:rPr>
            </w:pPr>
            <w:r w:rsidRPr="536C86A4">
              <w:rPr>
                <w:lang w:val="en-GB"/>
              </w:rPr>
              <w:t xml:space="preserve">Include </w:t>
            </w:r>
            <w:r w:rsidR="2385E15C" w:rsidRPr="536C86A4">
              <w:rPr>
                <w:lang w:val="en-GB"/>
              </w:rPr>
              <w:t>zero exposure</w:t>
            </w:r>
          </w:p>
        </w:tc>
        <w:tc>
          <w:tcPr>
            <w:tcW w:w="1245" w:type="dxa"/>
          </w:tcPr>
          <w:p w14:paraId="63078382" w14:textId="1128452C" w:rsidR="0E21BA91" w:rsidRDefault="0E21BA91" w:rsidP="007951DC">
            <w:pPr>
              <w:jc w:val="center"/>
              <w:rPr>
                <w:lang w:val="en-GB"/>
              </w:rPr>
            </w:pPr>
            <w:r w:rsidRPr="536C86A4">
              <w:rPr>
                <w:lang w:val="en-GB"/>
              </w:rPr>
              <w:t>1693</w:t>
            </w:r>
          </w:p>
        </w:tc>
        <w:tc>
          <w:tcPr>
            <w:tcW w:w="1500" w:type="dxa"/>
          </w:tcPr>
          <w:p w14:paraId="396911B1" w14:textId="35A9D282" w:rsidR="0E21BA91" w:rsidRDefault="0E21BA91" w:rsidP="007951DC">
            <w:pPr>
              <w:jc w:val="center"/>
              <w:rPr>
                <w:lang w:val="en-GB"/>
              </w:rPr>
            </w:pPr>
            <w:r w:rsidRPr="536C86A4">
              <w:rPr>
                <w:lang w:val="en-GB"/>
              </w:rPr>
              <w:t>1625</w:t>
            </w:r>
          </w:p>
        </w:tc>
        <w:tc>
          <w:tcPr>
            <w:tcW w:w="1290" w:type="dxa"/>
          </w:tcPr>
          <w:p w14:paraId="5763226D" w14:textId="69E3D6E1" w:rsidR="0E21BA91" w:rsidRDefault="0E21BA91" w:rsidP="007951DC">
            <w:pPr>
              <w:jc w:val="center"/>
              <w:rPr>
                <w:lang w:val="en-GB"/>
              </w:rPr>
            </w:pPr>
            <w:r w:rsidRPr="536C86A4">
              <w:rPr>
                <w:lang w:val="en-GB"/>
              </w:rPr>
              <w:t>16</w:t>
            </w:r>
            <w:r w:rsidR="09597AF6" w:rsidRPr="536C86A4">
              <w:rPr>
                <w:lang w:val="en-GB"/>
              </w:rPr>
              <w:t>60</w:t>
            </w:r>
          </w:p>
        </w:tc>
      </w:tr>
      <w:tr w:rsidR="536C86A4" w14:paraId="25F6FA60" w14:textId="77777777" w:rsidTr="003E1538">
        <w:tc>
          <w:tcPr>
            <w:tcW w:w="2160" w:type="dxa"/>
          </w:tcPr>
          <w:p w14:paraId="16AEBC46" w14:textId="3BA9755B" w:rsidR="36D931FC" w:rsidRDefault="36D931FC" w:rsidP="536C86A4">
            <w:pPr>
              <w:rPr>
                <w:lang w:val="en-GB"/>
              </w:rPr>
            </w:pPr>
            <w:r w:rsidRPr="536C86A4">
              <w:rPr>
                <w:lang w:val="en-GB"/>
              </w:rPr>
              <w:t>Pooled Petroleum (Rushton, 2014)</w:t>
            </w:r>
          </w:p>
        </w:tc>
        <w:tc>
          <w:tcPr>
            <w:tcW w:w="1530" w:type="dxa"/>
          </w:tcPr>
          <w:p w14:paraId="1A5934B7" w14:textId="6B18C5CA" w:rsidR="7CAF199D" w:rsidRDefault="7CAF199D" w:rsidP="536C86A4">
            <w:pPr>
              <w:rPr>
                <w:lang w:val="en-GB"/>
              </w:rPr>
            </w:pPr>
            <w:r w:rsidRPr="536C86A4">
              <w:rPr>
                <w:lang w:val="en-GB"/>
              </w:rPr>
              <w:t>Tertiles</w:t>
            </w:r>
          </w:p>
        </w:tc>
        <w:tc>
          <w:tcPr>
            <w:tcW w:w="1635" w:type="dxa"/>
          </w:tcPr>
          <w:p w14:paraId="04E50611" w14:textId="07613329" w:rsidR="536C86A4" w:rsidRDefault="536C86A4" w:rsidP="536C86A4">
            <w:pPr>
              <w:rPr>
                <w:lang w:val="en-GB"/>
              </w:rPr>
            </w:pPr>
          </w:p>
        </w:tc>
        <w:tc>
          <w:tcPr>
            <w:tcW w:w="1245" w:type="dxa"/>
          </w:tcPr>
          <w:p w14:paraId="774DE1D3" w14:textId="07613329" w:rsidR="536C86A4" w:rsidRDefault="536C86A4" w:rsidP="007951DC">
            <w:pPr>
              <w:jc w:val="center"/>
              <w:rPr>
                <w:lang w:val="en-GB"/>
              </w:rPr>
            </w:pPr>
          </w:p>
        </w:tc>
        <w:tc>
          <w:tcPr>
            <w:tcW w:w="1500" w:type="dxa"/>
          </w:tcPr>
          <w:p w14:paraId="2E3D5006" w14:textId="06B82DAC" w:rsidR="536C86A4" w:rsidRDefault="536C86A4" w:rsidP="007951DC">
            <w:pPr>
              <w:jc w:val="center"/>
              <w:rPr>
                <w:lang w:val="en-GB"/>
              </w:rPr>
            </w:pPr>
          </w:p>
        </w:tc>
        <w:tc>
          <w:tcPr>
            <w:tcW w:w="1290" w:type="dxa"/>
          </w:tcPr>
          <w:p w14:paraId="7EF1941A" w14:textId="4A0B962B" w:rsidR="7272D5FC" w:rsidRDefault="7272D5FC" w:rsidP="007951DC">
            <w:pPr>
              <w:jc w:val="center"/>
              <w:rPr>
                <w:lang w:val="en-GB"/>
              </w:rPr>
            </w:pPr>
            <w:r w:rsidRPr="536C86A4">
              <w:rPr>
                <w:lang w:val="en-GB"/>
              </w:rPr>
              <w:t>68.9</w:t>
            </w:r>
          </w:p>
        </w:tc>
      </w:tr>
      <w:tr w:rsidR="536C86A4" w14:paraId="1515C08E" w14:textId="77777777" w:rsidTr="003E1538">
        <w:tc>
          <w:tcPr>
            <w:tcW w:w="2160" w:type="dxa"/>
          </w:tcPr>
          <w:p w14:paraId="4B443786" w14:textId="735A2EC8" w:rsidR="36D931FC" w:rsidRDefault="36D931FC" w:rsidP="536C86A4">
            <w:pPr>
              <w:rPr>
                <w:lang w:val="en-GB"/>
              </w:rPr>
            </w:pPr>
            <w:r w:rsidRPr="536C86A4">
              <w:rPr>
                <w:lang w:val="en-GB"/>
              </w:rPr>
              <w:t>Dow (Collins 2015)</w:t>
            </w:r>
          </w:p>
        </w:tc>
        <w:tc>
          <w:tcPr>
            <w:tcW w:w="1530" w:type="dxa"/>
          </w:tcPr>
          <w:p w14:paraId="414C06EA" w14:textId="17DC3FD4" w:rsidR="7A82FFFD" w:rsidRDefault="7A82FFFD" w:rsidP="536C86A4">
            <w:pPr>
              <w:rPr>
                <w:lang w:val="en-GB"/>
              </w:rPr>
            </w:pPr>
            <w:r w:rsidRPr="536C86A4">
              <w:rPr>
                <w:lang w:val="en-GB"/>
              </w:rPr>
              <w:t>1-3.99, 4-24.99, 25+</w:t>
            </w:r>
          </w:p>
        </w:tc>
        <w:tc>
          <w:tcPr>
            <w:tcW w:w="1635" w:type="dxa"/>
          </w:tcPr>
          <w:p w14:paraId="48275384" w14:textId="07613329" w:rsidR="536C86A4" w:rsidRDefault="536C86A4" w:rsidP="536C86A4">
            <w:pPr>
              <w:rPr>
                <w:lang w:val="en-GB"/>
              </w:rPr>
            </w:pPr>
          </w:p>
        </w:tc>
        <w:tc>
          <w:tcPr>
            <w:tcW w:w="1245" w:type="dxa"/>
          </w:tcPr>
          <w:p w14:paraId="34ECB17B" w14:textId="07613329" w:rsidR="536C86A4" w:rsidRDefault="536C86A4" w:rsidP="007951DC">
            <w:pPr>
              <w:jc w:val="center"/>
              <w:rPr>
                <w:lang w:val="en-GB"/>
              </w:rPr>
            </w:pPr>
          </w:p>
        </w:tc>
        <w:tc>
          <w:tcPr>
            <w:tcW w:w="1500" w:type="dxa"/>
          </w:tcPr>
          <w:p w14:paraId="60F49F22" w14:textId="2C246178" w:rsidR="536C86A4" w:rsidRDefault="536C86A4" w:rsidP="007951DC">
            <w:pPr>
              <w:jc w:val="center"/>
              <w:rPr>
                <w:lang w:val="en-GB"/>
              </w:rPr>
            </w:pPr>
          </w:p>
        </w:tc>
        <w:tc>
          <w:tcPr>
            <w:tcW w:w="1290" w:type="dxa"/>
          </w:tcPr>
          <w:p w14:paraId="76BF8814" w14:textId="16234F30" w:rsidR="2D2EA8EA" w:rsidRDefault="2D2EA8EA" w:rsidP="007951DC">
            <w:pPr>
              <w:jc w:val="center"/>
              <w:rPr>
                <w:lang w:val="en-GB"/>
              </w:rPr>
            </w:pPr>
            <w:r w:rsidRPr="536C86A4">
              <w:rPr>
                <w:lang w:val="en-GB"/>
              </w:rPr>
              <w:t>347</w:t>
            </w:r>
          </w:p>
        </w:tc>
      </w:tr>
      <w:tr w:rsidR="536C86A4" w14:paraId="0A1C1B76" w14:textId="77777777" w:rsidTr="003E1538">
        <w:tc>
          <w:tcPr>
            <w:tcW w:w="2160" w:type="dxa"/>
          </w:tcPr>
          <w:p w14:paraId="0F5CEB9B" w14:textId="1DC21350" w:rsidR="36D931FC" w:rsidRDefault="36D931FC" w:rsidP="536C86A4">
            <w:pPr>
              <w:rPr>
                <w:lang w:val="en-GB"/>
              </w:rPr>
            </w:pPr>
            <w:r w:rsidRPr="536C86A4">
              <w:rPr>
                <w:lang w:val="en-GB"/>
              </w:rPr>
              <w:t>Solutia (Collins 2003)</w:t>
            </w:r>
          </w:p>
        </w:tc>
        <w:tc>
          <w:tcPr>
            <w:tcW w:w="1530" w:type="dxa"/>
          </w:tcPr>
          <w:p w14:paraId="4EA7DA6E" w14:textId="27C403D5" w:rsidR="64D86ED5" w:rsidRDefault="64D86ED5" w:rsidP="536C86A4">
            <w:pPr>
              <w:rPr>
                <w:lang w:val="en-GB"/>
              </w:rPr>
            </w:pPr>
            <w:r w:rsidRPr="536C86A4">
              <w:rPr>
                <w:lang w:val="en-GB"/>
              </w:rPr>
              <w:t>&lt;1, 1-6, &gt;6, exclude zero</w:t>
            </w:r>
          </w:p>
        </w:tc>
        <w:tc>
          <w:tcPr>
            <w:tcW w:w="1635" w:type="dxa"/>
          </w:tcPr>
          <w:p w14:paraId="55545A29" w14:textId="3B4CD24A" w:rsidR="435C6BB1" w:rsidRDefault="435C6BB1" w:rsidP="536C86A4">
            <w:pPr>
              <w:rPr>
                <w:lang w:val="en-GB"/>
              </w:rPr>
            </w:pPr>
            <w:r w:rsidRPr="536C86A4">
              <w:rPr>
                <w:lang w:val="en-GB"/>
              </w:rPr>
              <w:t>&lt;1, 1-6, &gt;6, include zero</w:t>
            </w:r>
          </w:p>
        </w:tc>
        <w:tc>
          <w:tcPr>
            <w:tcW w:w="1245" w:type="dxa"/>
          </w:tcPr>
          <w:p w14:paraId="14B8421F" w14:textId="07613329" w:rsidR="536C86A4" w:rsidRDefault="536C86A4" w:rsidP="007951DC">
            <w:pPr>
              <w:jc w:val="center"/>
              <w:rPr>
                <w:lang w:val="en-GB"/>
              </w:rPr>
            </w:pPr>
          </w:p>
        </w:tc>
        <w:tc>
          <w:tcPr>
            <w:tcW w:w="1500" w:type="dxa"/>
          </w:tcPr>
          <w:p w14:paraId="555DDD1C" w14:textId="469EF8CF" w:rsidR="536C86A4" w:rsidRDefault="536C86A4" w:rsidP="007951DC">
            <w:pPr>
              <w:jc w:val="center"/>
              <w:rPr>
                <w:lang w:val="en-GB"/>
              </w:rPr>
            </w:pPr>
          </w:p>
        </w:tc>
        <w:tc>
          <w:tcPr>
            <w:tcW w:w="1290" w:type="dxa"/>
          </w:tcPr>
          <w:p w14:paraId="5E0AE540" w14:textId="3CD5FDF4" w:rsidR="29E37323" w:rsidRDefault="29E37323" w:rsidP="007951DC">
            <w:pPr>
              <w:jc w:val="center"/>
              <w:rPr>
                <w:lang w:val="en-GB"/>
              </w:rPr>
            </w:pPr>
            <w:r w:rsidRPr="536C86A4">
              <w:rPr>
                <w:lang w:val="en-GB"/>
              </w:rPr>
              <w:t>68.9</w:t>
            </w:r>
          </w:p>
        </w:tc>
      </w:tr>
      <w:tr w:rsidR="536C86A4" w14:paraId="45E4A5B6" w14:textId="77777777" w:rsidTr="003E1538">
        <w:tc>
          <w:tcPr>
            <w:tcW w:w="2160" w:type="dxa"/>
          </w:tcPr>
          <w:p w14:paraId="7AC55760" w14:textId="2D791FDB" w:rsidR="36D931FC" w:rsidRDefault="36D931FC" w:rsidP="536C86A4">
            <w:pPr>
              <w:rPr>
                <w:lang w:val="en-GB"/>
              </w:rPr>
            </w:pPr>
            <w:r w:rsidRPr="536C86A4">
              <w:rPr>
                <w:lang w:val="en-GB"/>
              </w:rPr>
              <w:t>Norwegian Offshore (Stenehjem 2015)</w:t>
            </w:r>
          </w:p>
        </w:tc>
        <w:tc>
          <w:tcPr>
            <w:tcW w:w="1530" w:type="dxa"/>
          </w:tcPr>
          <w:p w14:paraId="73AA6BAE" w14:textId="19D67828" w:rsidR="01457BC6" w:rsidRDefault="01457BC6" w:rsidP="536C86A4">
            <w:pPr>
              <w:rPr>
                <w:lang w:val="en-GB"/>
              </w:rPr>
            </w:pPr>
            <w:r w:rsidRPr="536C86A4">
              <w:rPr>
                <w:lang w:val="en-GB"/>
              </w:rPr>
              <w:t>Tertiles, exclude zero</w:t>
            </w:r>
          </w:p>
        </w:tc>
        <w:tc>
          <w:tcPr>
            <w:tcW w:w="1635" w:type="dxa"/>
          </w:tcPr>
          <w:p w14:paraId="688712C3" w14:textId="35F6501A" w:rsidR="01457BC6" w:rsidRDefault="01457BC6" w:rsidP="536C86A4">
            <w:pPr>
              <w:rPr>
                <w:lang w:val="en-GB"/>
              </w:rPr>
            </w:pPr>
            <w:r w:rsidRPr="536C86A4">
              <w:rPr>
                <w:lang w:val="en-GB"/>
              </w:rPr>
              <w:t>Tertiles, include zero</w:t>
            </w:r>
          </w:p>
        </w:tc>
        <w:tc>
          <w:tcPr>
            <w:tcW w:w="1245" w:type="dxa"/>
          </w:tcPr>
          <w:p w14:paraId="60DB8FF8" w14:textId="263102B2" w:rsidR="0AF0046B" w:rsidRDefault="0AF0046B" w:rsidP="007951DC">
            <w:pPr>
              <w:jc w:val="center"/>
              <w:rPr>
                <w:lang w:val="en-GB"/>
              </w:rPr>
            </w:pPr>
            <w:r w:rsidRPr="536C86A4">
              <w:rPr>
                <w:lang w:val="en-GB"/>
              </w:rPr>
              <w:t>0.334</w:t>
            </w:r>
          </w:p>
        </w:tc>
        <w:tc>
          <w:tcPr>
            <w:tcW w:w="1500" w:type="dxa"/>
          </w:tcPr>
          <w:p w14:paraId="5293E670" w14:textId="1D65CDE8" w:rsidR="0AF0046B" w:rsidRDefault="0AF0046B" w:rsidP="007951DC">
            <w:pPr>
              <w:jc w:val="center"/>
              <w:rPr>
                <w:lang w:val="en-GB"/>
              </w:rPr>
            </w:pPr>
            <w:r w:rsidRPr="536C86A4">
              <w:rPr>
                <w:lang w:val="en-GB"/>
              </w:rPr>
              <w:t>0.332</w:t>
            </w:r>
          </w:p>
        </w:tc>
        <w:tc>
          <w:tcPr>
            <w:tcW w:w="1290" w:type="dxa"/>
          </w:tcPr>
          <w:p w14:paraId="668E39DD" w14:textId="3BB1387E" w:rsidR="21419647" w:rsidRDefault="21419647" w:rsidP="007951DC">
            <w:pPr>
              <w:jc w:val="center"/>
              <w:rPr>
                <w:lang w:val="en-GB"/>
              </w:rPr>
            </w:pPr>
            <w:r w:rsidRPr="536C86A4">
              <w:rPr>
                <w:lang w:val="en-GB"/>
              </w:rPr>
              <w:t>0.333</w:t>
            </w:r>
          </w:p>
        </w:tc>
      </w:tr>
      <w:tr w:rsidR="536C86A4" w14:paraId="2C74CEC7" w14:textId="77777777" w:rsidTr="003E1538">
        <w:tc>
          <w:tcPr>
            <w:tcW w:w="2160" w:type="dxa"/>
          </w:tcPr>
          <w:p w14:paraId="55E60FA7" w14:textId="392FD0C6" w:rsidR="565E5C19" w:rsidRDefault="565E5C19" w:rsidP="536C86A4">
            <w:pPr>
              <w:rPr>
                <w:lang w:val="en-GB"/>
              </w:rPr>
            </w:pPr>
            <w:r w:rsidRPr="536C86A4">
              <w:rPr>
                <w:lang w:val="en-GB"/>
              </w:rPr>
              <w:t>TOTAL</w:t>
            </w:r>
          </w:p>
        </w:tc>
        <w:tc>
          <w:tcPr>
            <w:tcW w:w="1530" w:type="dxa"/>
          </w:tcPr>
          <w:p w14:paraId="619902A6" w14:textId="07613329" w:rsidR="536C86A4" w:rsidRDefault="536C86A4" w:rsidP="536C86A4">
            <w:pPr>
              <w:rPr>
                <w:lang w:val="en-GB"/>
              </w:rPr>
            </w:pPr>
          </w:p>
        </w:tc>
        <w:tc>
          <w:tcPr>
            <w:tcW w:w="1635" w:type="dxa"/>
          </w:tcPr>
          <w:p w14:paraId="418689EC" w14:textId="07613329" w:rsidR="536C86A4" w:rsidRDefault="536C86A4" w:rsidP="536C86A4">
            <w:pPr>
              <w:rPr>
                <w:lang w:val="en-GB"/>
              </w:rPr>
            </w:pPr>
          </w:p>
        </w:tc>
        <w:tc>
          <w:tcPr>
            <w:tcW w:w="1245" w:type="dxa"/>
          </w:tcPr>
          <w:p w14:paraId="79B94DB3" w14:textId="07613329" w:rsidR="536C86A4" w:rsidRDefault="536C86A4" w:rsidP="536C86A4">
            <w:pPr>
              <w:rPr>
                <w:lang w:val="en-GB"/>
              </w:rPr>
            </w:pPr>
          </w:p>
        </w:tc>
        <w:tc>
          <w:tcPr>
            <w:tcW w:w="1500" w:type="dxa"/>
          </w:tcPr>
          <w:p w14:paraId="2F8E42AB" w14:textId="4522A2FD" w:rsidR="536C86A4" w:rsidRDefault="536C86A4" w:rsidP="536C86A4">
            <w:pPr>
              <w:rPr>
                <w:lang w:val="en-GB"/>
              </w:rPr>
            </w:pPr>
          </w:p>
        </w:tc>
        <w:tc>
          <w:tcPr>
            <w:tcW w:w="1290" w:type="dxa"/>
          </w:tcPr>
          <w:p w14:paraId="7E3D0F8C" w14:textId="4CE33D64" w:rsidR="015409BB" w:rsidRDefault="015409BB" w:rsidP="536C86A4">
            <w:pPr>
              <w:rPr>
                <w:lang w:val="en-GB"/>
              </w:rPr>
            </w:pPr>
            <w:r w:rsidRPr="536C86A4">
              <w:rPr>
                <w:lang w:val="en-GB"/>
              </w:rPr>
              <w:t>378</w:t>
            </w:r>
          </w:p>
        </w:tc>
      </w:tr>
    </w:tbl>
    <w:p w14:paraId="0B075937" w14:textId="12930C9A" w:rsidR="0D642DCC" w:rsidRDefault="0D642DCC" w:rsidP="004C59A6">
      <w:pPr>
        <w:rPr>
          <w:lang w:val="en-GB"/>
        </w:rPr>
      </w:pPr>
      <w:r w:rsidRPr="536C86A4">
        <w:rPr>
          <w:vertAlign w:val="superscript"/>
          <w:lang w:val="en-GB"/>
        </w:rPr>
        <w:t>1</w:t>
      </w:r>
      <w:r w:rsidRPr="536C86A4">
        <w:rPr>
          <w:lang w:val="en-GB"/>
        </w:rPr>
        <w:t xml:space="preserve"> Based on aggregate 2-10 year and &gt; 10 year lagged analysis</w:t>
      </w:r>
      <w:r w:rsidR="4CB65EED" w:rsidRPr="536C86A4">
        <w:rPr>
          <w:lang w:val="en-GB"/>
        </w:rPr>
        <w:t xml:space="preserve"> for AML and MDS</w:t>
      </w:r>
    </w:p>
    <w:p w14:paraId="0A8D6A91" w14:textId="0E4E4407" w:rsidR="536C86A4" w:rsidRDefault="536C86A4" w:rsidP="536C86A4">
      <w:pPr>
        <w:pStyle w:val="Heading2"/>
        <w:rPr>
          <w:lang w:val="en-GB"/>
        </w:rPr>
      </w:pPr>
    </w:p>
    <w:p w14:paraId="1E2F7E07" w14:textId="305525AA" w:rsidR="536C86A4" w:rsidRDefault="536C86A4" w:rsidP="536C86A4">
      <w:pPr>
        <w:pStyle w:val="Heading2"/>
        <w:rPr>
          <w:lang w:val="en-GB"/>
        </w:rPr>
      </w:pPr>
    </w:p>
    <w:p w14:paraId="55DD7E39" w14:textId="52C3109D" w:rsidR="536C86A4" w:rsidRDefault="536C86A4" w:rsidP="536C86A4">
      <w:pPr>
        <w:pStyle w:val="Heading2"/>
        <w:rPr>
          <w:lang w:val="en-GB"/>
        </w:rPr>
      </w:pPr>
    </w:p>
    <w:p w14:paraId="17C12975" w14:textId="40E117D6" w:rsidR="7516CED7" w:rsidRDefault="7516CED7" w:rsidP="7516CED7">
      <w:pPr>
        <w:pStyle w:val="Heading2"/>
        <w:rPr>
          <w:lang w:val="en-GB"/>
        </w:rPr>
      </w:pPr>
      <w:r w:rsidRPr="00CD48FA">
        <w:rPr>
          <w:lang w:val="en-GB"/>
        </w:rPr>
        <w:t>Risk Model Outputs</w:t>
      </w:r>
    </w:p>
    <w:p w14:paraId="19D8FD55" w14:textId="13E19917" w:rsidR="00757FA6" w:rsidRDefault="00CD2E38" w:rsidP="00757FA6">
      <w:pPr>
        <w:rPr>
          <w:lang w:val="en-GB"/>
        </w:rPr>
      </w:pPr>
      <w:r>
        <w:rPr>
          <w:lang w:val="en-GB"/>
        </w:rPr>
        <w:t xml:space="preserve">All three models are plotted over the range from zero to the </w:t>
      </w:r>
      <w:r w:rsidR="000C245B">
        <w:rPr>
          <w:lang w:val="en-GB"/>
        </w:rPr>
        <w:t xml:space="preserve">ED01 </w:t>
      </w:r>
      <w:r>
        <w:rPr>
          <w:lang w:val="en-GB"/>
        </w:rPr>
        <w:t xml:space="preserve">value in </w:t>
      </w:r>
      <w:r>
        <w:rPr>
          <w:lang w:val="en-GB"/>
        </w:rPr>
        <w:fldChar w:fldCharType="begin"/>
      </w:r>
      <w:r>
        <w:rPr>
          <w:lang w:val="en-GB"/>
        </w:rPr>
        <w:instrText xml:space="preserve"> REF _Ref38458119 \h </w:instrText>
      </w:r>
      <w:r>
        <w:rPr>
          <w:lang w:val="en-GB"/>
        </w:rPr>
      </w:r>
      <w:r>
        <w:rPr>
          <w:lang w:val="en-GB"/>
        </w:rPr>
        <w:fldChar w:fldCharType="separate"/>
      </w:r>
      <w:r w:rsidR="00832F8A">
        <w:t xml:space="preserve">Figure </w:t>
      </w:r>
      <w:r w:rsidR="00832F8A">
        <w:rPr>
          <w:noProof/>
        </w:rPr>
        <w:t>1</w:t>
      </w:r>
      <w:r>
        <w:rPr>
          <w:lang w:val="en-GB"/>
        </w:rPr>
        <w:fldChar w:fldCharType="end"/>
      </w:r>
      <w:r>
        <w:rPr>
          <w:lang w:val="en-GB"/>
        </w:rPr>
        <w:t xml:space="preserve">. </w:t>
      </w:r>
      <w:r w:rsidR="00757FA6">
        <w:rPr>
          <w:lang w:val="en-GB"/>
        </w:rPr>
        <w:t xml:space="preserve">Above the </w:t>
      </w:r>
      <w:r w:rsidR="001F1FE5">
        <w:rPr>
          <w:lang w:val="en-GB"/>
        </w:rPr>
        <w:t>LOAEC</w:t>
      </w:r>
      <w:r w:rsidR="00061B07">
        <w:rPr>
          <w:lang w:val="en-GB"/>
        </w:rPr>
        <w:t>,</w:t>
      </w:r>
      <w:r w:rsidR="001F1FE5">
        <w:rPr>
          <w:lang w:val="en-GB"/>
        </w:rPr>
        <w:t xml:space="preserve"> the </w:t>
      </w:r>
      <w:r w:rsidR="00AA6B7E">
        <w:rPr>
          <w:lang w:val="en-GB"/>
        </w:rPr>
        <w:t>LNT</w:t>
      </w:r>
      <w:r w:rsidR="00FA0837">
        <w:rPr>
          <w:lang w:val="en-GB"/>
        </w:rPr>
        <w:t xml:space="preserve"> and CDS </w:t>
      </w:r>
      <w:r w:rsidR="001F1FE5">
        <w:rPr>
          <w:lang w:val="en-GB"/>
        </w:rPr>
        <w:t xml:space="preserve">models are </w:t>
      </w:r>
      <w:r w:rsidR="00FA0837">
        <w:rPr>
          <w:lang w:val="en-GB"/>
        </w:rPr>
        <w:t xml:space="preserve">the same. At the LOAEC the SMS model begins at a lower risk point than </w:t>
      </w:r>
      <w:r w:rsidR="00AA6B7E">
        <w:rPr>
          <w:lang w:val="en-GB"/>
        </w:rPr>
        <w:t>LNT</w:t>
      </w:r>
      <w:r w:rsidR="00FA0837">
        <w:rPr>
          <w:lang w:val="en-GB"/>
        </w:rPr>
        <w:t xml:space="preserve"> or CDS, but above the LOAEC has a steeper slope in order to converge with the </w:t>
      </w:r>
      <w:r w:rsidR="00AA6B7E">
        <w:rPr>
          <w:lang w:val="en-GB"/>
        </w:rPr>
        <w:t>LNT</w:t>
      </w:r>
      <w:r w:rsidR="00FA0837">
        <w:rPr>
          <w:lang w:val="en-GB"/>
        </w:rPr>
        <w:t xml:space="preserve"> and CDS models at the </w:t>
      </w:r>
      <w:r w:rsidR="000C245B">
        <w:rPr>
          <w:lang w:val="en-GB"/>
        </w:rPr>
        <w:t xml:space="preserve">ED01 </w:t>
      </w:r>
      <w:r w:rsidR="00FA0837">
        <w:rPr>
          <w:lang w:val="en-GB"/>
        </w:rPr>
        <w:t>value</w:t>
      </w:r>
      <w:r w:rsidR="001F1FE5">
        <w:rPr>
          <w:lang w:val="en-GB"/>
        </w:rPr>
        <w:t>.</w:t>
      </w:r>
    </w:p>
    <w:p w14:paraId="1F350290" w14:textId="5B6D9CA8" w:rsidR="00FA0837" w:rsidRDefault="00FA0837" w:rsidP="00757FA6">
      <w:pPr>
        <w:rPr>
          <w:lang w:val="en-GB"/>
        </w:rPr>
      </w:pPr>
    </w:p>
    <w:p w14:paraId="4C7E599E" w14:textId="50BAB716" w:rsidR="00FA0837" w:rsidRDefault="00FA0837" w:rsidP="00FA0837">
      <w:pPr>
        <w:pStyle w:val="Caption"/>
        <w:keepNext/>
      </w:pPr>
      <w:bookmarkStart w:id="15" w:name="_Ref38458119"/>
      <w:r>
        <w:t xml:space="preserve">Figure </w:t>
      </w:r>
      <w:r w:rsidR="00FF0C86">
        <w:rPr>
          <w:noProof/>
        </w:rPr>
        <w:fldChar w:fldCharType="begin"/>
      </w:r>
      <w:r w:rsidR="00FF0C86">
        <w:rPr>
          <w:noProof/>
        </w:rPr>
        <w:instrText xml:space="preserve"> SEQ Figure \* ARABIC </w:instrText>
      </w:r>
      <w:r w:rsidR="00FF0C86">
        <w:rPr>
          <w:noProof/>
        </w:rPr>
        <w:fldChar w:fldCharType="separate"/>
      </w:r>
      <w:r w:rsidR="00832F8A">
        <w:rPr>
          <w:noProof/>
        </w:rPr>
        <w:t>1</w:t>
      </w:r>
      <w:r w:rsidR="00FF0C86">
        <w:rPr>
          <w:noProof/>
        </w:rPr>
        <w:fldChar w:fldCharType="end"/>
      </w:r>
      <w:bookmarkEnd w:id="15"/>
      <w:r>
        <w:t xml:space="preserve">. Risk Models from OEL to </w:t>
      </w:r>
      <w:r w:rsidR="000C245B">
        <w:t>ED01</w:t>
      </w:r>
    </w:p>
    <w:p w14:paraId="5B0EA21A" w14:textId="45E1A076" w:rsidR="00FA0837" w:rsidRDefault="000C245B" w:rsidP="00757FA6">
      <w:pPr>
        <w:rPr>
          <w:lang w:val="en-GB"/>
        </w:rPr>
      </w:pPr>
      <w:commentRangeStart w:id="16"/>
      <w:commentRangeEnd w:id="16"/>
      <w:r>
        <w:rPr>
          <w:noProof/>
        </w:rPr>
        <w:drawing>
          <wp:inline distT="0" distB="0" distL="0" distR="0" wp14:anchorId="6F9CB717" wp14:editId="3FC50C32">
            <wp:extent cx="5486400" cy="5486400"/>
            <wp:effectExtent l="0" t="0" r="0" b="0"/>
            <wp:docPr id="1055604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5486400" cy="5486400"/>
                    </a:xfrm>
                    <a:prstGeom prst="rect">
                      <a:avLst/>
                    </a:prstGeom>
                  </pic:spPr>
                </pic:pic>
              </a:graphicData>
            </a:graphic>
          </wp:inline>
        </w:drawing>
      </w:r>
    </w:p>
    <w:p w14:paraId="587E2BC2" w14:textId="59FBF41D" w:rsidR="00FA0837" w:rsidRDefault="00FA0837" w:rsidP="00757FA6">
      <w:pPr>
        <w:rPr>
          <w:lang w:val="en-GB"/>
        </w:rPr>
      </w:pPr>
    </w:p>
    <w:p w14:paraId="08B31A13" w14:textId="0877CF54" w:rsidR="00FA0837" w:rsidRDefault="00CD2E38" w:rsidP="00757FA6">
      <w:pPr>
        <w:rPr>
          <w:lang w:val="en-GB"/>
        </w:rPr>
      </w:pPr>
      <w:r>
        <w:rPr>
          <w:lang w:val="en-GB"/>
        </w:rPr>
        <w:t xml:space="preserve">In </w:t>
      </w:r>
      <w:r w:rsidR="00DF2BD0">
        <w:rPr>
          <w:lang w:val="en-GB"/>
        </w:rPr>
        <w:fldChar w:fldCharType="begin"/>
      </w:r>
      <w:r w:rsidR="00DF2BD0">
        <w:rPr>
          <w:lang w:val="en-GB"/>
        </w:rPr>
        <w:instrText xml:space="preserve"> REF _Ref38461549 \h </w:instrText>
      </w:r>
      <w:r w:rsidR="00DF2BD0">
        <w:rPr>
          <w:lang w:val="en-GB"/>
        </w:rPr>
      </w:r>
      <w:r w:rsidR="00DF2BD0">
        <w:rPr>
          <w:lang w:val="en-GB"/>
        </w:rPr>
        <w:fldChar w:fldCharType="separate"/>
      </w:r>
      <w:r w:rsidR="00832F8A">
        <w:t xml:space="preserve">Figure </w:t>
      </w:r>
      <w:r w:rsidR="00832F8A">
        <w:rPr>
          <w:noProof/>
        </w:rPr>
        <w:t>2</w:t>
      </w:r>
      <w:r w:rsidR="00DF2BD0">
        <w:rPr>
          <w:lang w:val="en-GB"/>
        </w:rPr>
        <w:fldChar w:fldCharType="end"/>
      </w:r>
      <w:r w:rsidR="00DF2BD0">
        <w:rPr>
          <w:lang w:val="en-GB"/>
        </w:rPr>
        <w:t xml:space="preserve"> </w:t>
      </w:r>
      <w:r>
        <w:rPr>
          <w:lang w:val="en-GB"/>
        </w:rPr>
        <w:t xml:space="preserve">all three models are shown </w:t>
      </w:r>
      <w:r w:rsidR="00240AFB">
        <w:rPr>
          <w:lang w:val="en-GB"/>
        </w:rPr>
        <w:t>in the region between zero and the LOAEC, making the difference in the models below the LOAEC more visible.</w:t>
      </w:r>
      <w:r w:rsidR="00DF2BD0">
        <w:rPr>
          <w:lang w:val="en-GB"/>
        </w:rPr>
        <w:t xml:space="preserve"> As noted above, in the CDS model the slope of the line gradually decreases from being equal t</w:t>
      </w:r>
      <w:r w:rsidR="004806C1">
        <w:rPr>
          <w:lang w:val="en-GB"/>
        </w:rPr>
        <w:t xml:space="preserve">o the </w:t>
      </w:r>
      <w:r w:rsidR="00AA6B7E">
        <w:rPr>
          <w:lang w:val="en-GB"/>
        </w:rPr>
        <w:t>LNT</w:t>
      </w:r>
      <w:r w:rsidR="004806C1">
        <w:rPr>
          <w:lang w:val="en-GB"/>
        </w:rPr>
        <w:t xml:space="preserve"> model until it reaches zero at the OEL. </w:t>
      </w:r>
    </w:p>
    <w:p w14:paraId="443201D2" w14:textId="77777777" w:rsidR="00DF2BD0" w:rsidRDefault="00DF2BD0" w:rsidP="00757FA6">
      <w:pPr>
        <w:rPr>
          <w:lang w:val="en-GB"/>
        </w:rPr>
      </w:pPr>
    </w:p>
    <w:p w14:paraId="362940C5" w14:textId="0A16DEB8" w:rsidR="00DF2BD0" w:rsidRDefault="00DF2BD0" w:rsidP="00757FA6">
      <w:pPr>
        <w:rPr>
          <w:lang w:val="en-GB"/>
        </w:rPr>
      </w:pPr>
    </w:p>
    <w:p w14:paraId="6423BA72" w14:textId="38D41287" w:rsidR="00DF2BD0" w:rsidRDefault="00DF2BD0" w:rsidP="00DF2BD0">
      <w:pPr>
        <w:pStyle w:val="Caption"/>
        <w:keepNext/>
      </w:pPr>
      <w:bookmarkStart w:id="17" w:name="_Ref38461549"/>
      <w:r>
        <w:t xml:space="preserve">Figure </w:t>
      </w:r>
      <w:r w:rsidR="00FF0C86">
        <w:rPr>
          <w:i w:val="0"/>
          <w:iCs w:val="0"/>
          <w:noProof/>
        </w:rPr>
        <w:fldChar w:fldCharType="begin"/>
      </w:r>
      <w:r w:rsidR="00FF0C86">
        <w:rPr>
          <w:noProof/>
        </w:rPr>
        <w:instrText xml:space="preserve"> SEQ Figure \* ARABIC </w:instrText>
      </w:r>
      <w:r w:rsidR="00FF0C86">
        <w:rPr>
          <w:i w:val="0"/>
          <w:iCs w:val="0"/>
          <w:noProof/>
        </w:rPr>
        <w:fldChar w:fldCharType="separate"/>
      </w:r>
      <w:r w:rsidR="00832F8A">
        <w:rPr>
          <w:noProof/>
        </w:rPr>
        <w:t>2</w:t>
      </w:r>
      <w:r w:rsidR="00FF0C86">
        <w:rPr>
          <w:i w:val="0"/>
          <w:iCs w:val="0"/>
          <w:noProof/>
        </w:rPr>
        <w:fldChar w:fldCharType="end"/>
      </w:r>
      <w:bookmarkEnd w:id="17"/>
      <w:r>
        <w:t>. Risk Models in region</w:t>
      </w:r>
      <w:r w:rsidR="00131B81">
        <w:t xml:space="preserve"> near LOAE</w:t>
      </w:r>
      <w:r w:rsidR="000C245B">
        <w:t>C</w:t>
      </w:r>
      <w:r w:rsidR="00131B81">
        <w:t xml:space="preserve"> and OEL</w:t>
      </w:r>
    </w:p>
    <w:p w14:paraId="6D90FCBD" w14:textId="7496FDA5" w:rsidR="00DF2BD0" w:rsidRDefault="000C245B" w:rsidP="00757FA6">
      <w:pPr>
        <w:rPr>
          <w:lang w:val="en-GB"/>
        </w:rPr>
      </w:pPr>
      <w:r>
        <w:rPr>
          <w:noProof/>
        </w:rPr>
        <w:drawing>
          <wp:inline distT="0" distB="0" distL="0" distR="0" wp14:anchorId="5F8D8F49" wp14:editId="1D83FD60">
            <wp:extent cx="5486400" cy="5486400"/>
            <wp:effectExtent l="0" t="0" r="0" b="0"/>
            <wp:docPr id="930521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5486400" cy="5486400"/>
                    </a:xfrm>
                    <a:prstGeom prst="rect">
                      <a:avLst/>
                    </a:prstGeom>
                  </pic:spPr>
                </pic:pic>
              </a:graphicData>
            </a:graphic>
          </wp:inline>
        </w:drawing>
      </w:r>
    </w:p>
    <w:p w14:paraId="3A0D882D" w14:textId="6A76EA2E" w:rsidR="00DF2BD0" w:rsidRDefault="00DF2BD0" w:rsidP="00757FA6">
      <w:pPr>
        <w:rPr>
          <w:lang w:val="en-GB"/>
        </w:rPr>
      </w:pPr>
      <w:r>
        <w:rPr>
          <w:lang w:val="en-GB"/>
        </w:rPr>
        <w:t xml:space="preserve">For comparison, the risk values from the three models are shown </w:t>
      </w:r>
      <w:r w:rsidR="00131B81">
        <w:rPr>
          <w:lang w:val="en-GB"/>
        </w:rPr>
        <w:t xml:space="preserve">at specific points of interest in the model </w:t>
      </w:r>
      <w:r w:rsidR="003C6AFE">
        <w:rPr>
          <w:lang w:val="en-GB"/>
        </w:rPr>
        <w:t>(</w:t>
      </w:r>
      <w:r w:rsidR="003C6AFE">
        <w:rPr>
          <w:lang w:val="en-GB"/>
        </w:rPr>
        <w:fldChar w:fldCharType="begin"/>
      </w:r>
      <w:r w:rsidR="003C6AFE">
        <w:rPr>
          <w:lang w:val="en-GB"/>
        </w:rPr>
        <w:instrText xml:space="preserve"> REF _Ref42259212 \h </w:instrText>
      </w:r>
      <w:r w:rsidR="003C6AFE">
        <w:rPr>
          <w:lang w:val="en-GB"/>
        </w:rPr>
      </w:r>
      <w:r w:rsidR="003C6AFE">
        <w:rPr>
          <w:lang w:val="en-GB"/>
        </w:rPr>
        <w:fldChar w:fldCharType="separate"/>
      </w:r>
      <w:r w:rsidR="00832F8A">
        <w:t xml:space="preserve">Table </w:t>
      </w:r>
      <w:r w:rsidR="00832F8A">
        <w:rPr>
          <w:noProof/>
        </w:rPr>
        <w:t>2</w:t>
      </w:r>
      <w:r w:rsidR="003C6AFE">
        <w:rPr>
          <w:lang w:val="en-GB"/>
        </w:rPr>
        <w:fldChar w:fldCharType="end"/>
      </w:r>
      <w:r w:rsidR="003C6AFE">
        <w:rPr>
          <w:lang w:val="en-GB"/>
        </w:rPr>
        <w:t xml:space="preserve">) </w:t>
      </w:r>
      <w:r w:rsidR="00131B81">
        <w:rPr>
          <w:lang w:val="en-GB"/>
        </w:rPr>
        <w:t xml:space="preserve">and </w:t>
      </w:r>
      <w:r>
        <w:rPr>
          <w:lang w:val="en-GB"/>
        </w:rPr>
        <w:t>in reference to specific risk values used in some risk assessments</w:t>
      </w:r>
      <w:r w:rsidR="004806C1">
        <w:rPr>
          <w:lang w:val="en-GB"/>
        </w:rPr>
        <w:t xml:space="preserve"> (</w:t>
      </w:r>
      <w:r w:rsidR="004806C1">
        <w:rPr>
          <w:lang w:val="en-GB"/>
        </w:rPr>
        <w:fldChar w:fldCharType="begin"/>
      </w:r>
      <w:r w:rsidR="004806C1">
        <w:rPr>
          <w:lang w:val="en-GB"/>
        </w:rPr>
        <w:instrText xml:space="preserve"> REF _Ref38463509 \h </w:instrText>
      </w:r>
      <w:r w:rsidR="004806C1">
        <w:rPr>
          <w:lang w:val="en-GB"/>
        </w:rPr>
      </w:r>
      <w:r w:rsidR="004806C1">
        <w:rPr>
          <w:lang w:val="en-GB"/>
        </w:rPr>
        <w:fldChar w:fldCharType="separate"/>
      </w:r>
      <w:r w:rsidR="00832F8A">
        <w:t xml:space="preserve">Table </w:t>
      </w:r>
      <w:r w:rsidR="00832F8A">
        <w:rPr>
          <w:noProof/>
        </w:rPr>
        <w:t>3</w:t>
      </w:r>
      <w:r w:rsidR="004806C1">
        <w:rPr>
          <w:lang w:val="en-GB"/>
        </w:rPr>
        <w:fldChar w:fldCharType="end"/>
      </w:r>
      <w:r w:rsidR="003C6AFE">
        <w:rPr>
          <w:lang w:val="en-GB"/>
        </w:rPr>
        <w:t>).</w:t>
      </w:r>
      <w:r w:rsidR="004806C1">
        <w:rPr>
          <w:lang w:val="en-GB"/>
        </w:rPr>
        <w:t xml:space="preserve"> </w:t>
      </w:r>
    </w:p>
    <w:p w14:paraId="4A8D2EC3" w14:textId="133D1BEA" w:rsidR="003C6AFE" w:rsidRDefault="003C6AFE" w:rsidP="003E1538">
      <w:pPr>
        <w:pStyle w:val="Caption"/>
        <w:keepNext/>
      </w:pPr>
      <w:bookmarkStart w:id="18" w:name="_Ref42259212"/>
      <w:r>
        <w:t xml:space="preserve">Table </w:t>
      </w:r>
      <w:r>
        <w:fldChar w:fldCharType="begin"/>
      </w:r>
      <w:r>
        <w:instrText xml:space="preserve"> SEQ Table \* ARABIC </w:instrText>
      </w:r>
      <w:r>
        <w:fldChar w:fldCharType="separate"/>
      </w:r>
      <w:r w:rsidR="00832F8A">
        <w:rPr>
          <w:noProof/>
        </w:rPr>
        <w:t>2</w:t>
      </w:r>
      <w:r>
        <w:fldChar w:fldCharType="end"/>
      </w:r>
      <w:bookmarkEnd w:id="18"/>
      <w:r>
        <w:t>. Risk estimates at specific change points in models</w:t>
      </w:r>
      <w:r w:rsidR="000C245B">
        <w:t xml:space="preserve"> (rounded to single digit)</w:t>
      </w:r>
    </w:p>
    <w:tbl>
      <w:tblPr>
        <w:tblStyle w:val="TableGrid"/>
        <w:tblW w:w="0" w:type="auto"/>
        <w:tblLook w:val="04A0" w:firstRow="1" w:lastRow="0" w:firstColumn="1" w:lastColumn="0" w:noHBand="0" w:noVBand="1"/>
      </w:tblPr>
      <w:tblGrid>
        <w:gridCol w:w="1440"/>
        <w:gridCol w:w="1152"/>
        <w:gridCol w:w="1152"/>
        <w:gridCol w:w="1152"/>
      </w:tblGrid>
      <w:tr w:rsidR="00131B81" w14:paraId="3B90DCE1" w14:textId="77777777" w:rsidTr="003C6AFE">
        <w:tc>
          <w:tcPr>
            <w:tcW w:w="1440" w:type="dxa"/>
            <w:vAlign w:val="center"/>
          </w:tcPr>
          <w:p w14:paraId="67322AC4" w14:textId="57840519" w:rsidR="00131B81" w:rsidRPr="003C6AFE" w:rsidRDefault="00131B81" w:rsidP="003C6AFE">
            <w:pPr>
              <w:jc w:val="center"/>
              <w:rPr>
                <w:b/>
                <w:lang w:val="en-GB"/>
              </w:rPr>
            </w:pPr>
            <w:r w:rsidRPr="003C6AFE">
              <w:rPr>
                <w:b/>
                <w:lang w:val="en-GB"/>
              </w:rPr>
              <w:t>AML Risk</w:t>
            </w:r>
          </w:p>
        </w:tc>
        <w:tc>
          <w:tcPr>
            <w:tcW w:w="1152" w:type="dxa"/>
            <w:vAlign w:val="center"/>
          </w:tcPr>
          <w:p w14:paraId="0A9F87A2" w14:textId="7EC46EDD" w:rsidR="00131B81" w:rsidRPr="003C6AFE" w:rsidRDefault="00131B81" w:rsidP="003C6AFE">
            <w:pPr>
              <w:jc w:val="center"/>
              <w:rPr>
                <w:b/>
                <w:lang w:val="en-GB"/>
              </w:rPr>
            </w:pPr>
            <w:r w:rsidRPr="003C6AFE">
              <w:rPr>
                <w:b/>
                <w:lang w:val="en-GB"/>
              </w:rPr>
              <w:t>LNT</w:t>
            </w:r>
          </w:p>
        </w:tc>
        <w:tc>
          <w:tcPr>
            <w:tcW w:w="1152" w:type="dxa"/>
            <w:vAlign w:val="center"/>
          </w:tcPr>
          <w:p w14:paraId="252310F1" w14:textId="50DE0BDF" w:rsidR="00131B81" w:rsidRPr="003C6AFE" w:rsidRDefault="00131B81" w:rsidP="003C6AFE">
            <w:pPr>
              <w:jc w:val="center"/>
              <w:rPr>
                <w:b/>
                <w:lang w:val="en-GB"/>
              </w:rPr>
            </w:pPr>
            <w:r w:rsidRPr="003C6AFE">
              <w:rPr>
                <w:b/>
                <w:lang w:val="en-GB"/>
              </w:rPr>
              <w:t>CDS</w:t>
            </w:r>
          </w:p>
        </w:tc>
        <w:tc>
          <w:tcPr>
            <w:tcW w:w="1152" w:type="dxa"/>
            <w:vAlign w:val="center"/>
          </w:tcPr>
          <w:p w14:paraId="4D4DC524" w14:textId="717A3FF4" w:rsidR="00131B81" w:rsidRPr="003C6AFE" w:rsidRDefault="00131B81" w:rsidP="003C6AFE">
            <w:pPr>
              <w:jc w:val="center"/>
              <w:rPr>
                <w:b/>
                <w:lang w:val="en-GB"/>
              </w:rPr>
            </w:pPr>
            <w:r w:rsidRPr="003C6AFE">
              <w:rPr>
                <w:b/>
                <w:lang w:val="en-GB"/>
              </w:rPr>
              <w:t>SMS</w:t>
            </w:r>
          </w:p>
        </w:tc>
      </w:tr>
      <w:tr w:rsidR="00131B81" w14:paraId="44F23C61" w14:textId="77777777" w:rsidTr="003C6AFE">
        <w:tc>
          <w:tcPr>
            <w:tcW w:w="1440" w:type="dxa"/>
            <w:vAlign w:val="center"/>
          </w:tcPr>
          <w:p w14:paraId="3F7685AB" w14:textId="79F45A97" w:rsidR="00131B81" w:rsidRDefault="00131B81" w:rsidP="003C6AFE">
            <w:pPr>
              <w:jc w:val="center"/>
              <w:rPr>
                <w:lang w:val="en-GB"/>
              </w:rPr>
            </w:pPr>
            <w:r>
              <w:rPr>
                <w:lang w:val="en-GB"/>
              </w:rPr>
              <w:t>LOAEC</w:t>
            </w:r>
          </w:p>
        </w:tc>
        <w:tc>
          <w:tcPr>
            <w:tcW w:w="1152" w:type="dxa"/>
            <w:vAlign w:val="center"/>
          </w:tcPr>
          <w:p w14:paraId="40F2DA78" w14:textId="6E8678B5" w:rsidR="00131B81" w:rsidRDefault="003C6AFE" w:rsidP="000C245B">
            <w:pPr>
              <w:jc w:val="center"/>
              <w:rPr>
                <w:lang w:val="en-GB"/>
              </w:rPr>
            </w:pPr>
            <w:r>
              <w:rPr>
                <w:lang w:val="en-GB"/>
              </w:rPr>
              <w:t>0.00</w:t>
            </w:r>
            <w:r w:rsidR="000C245B">
              <w:rPr>
                <w:lang w:val="en-GB"/>
              </w:rPr>
              <w:t>1</w:t>
            </w:r>
          </w:p>
        </w:tc>
        <w:tc>
          <w:tcPr>
            <w:tcW w:w="1152" w:type="dxa"/>
            <w:vAlign w:val="center"/>
          </w:tcPr>
          <w:p w14:paraId="3FB41645" w14:textId="239F91CA" w:rsidR="00131B81" w:rsidRDefault="003C6AFE" w:rsidP="000C245B">
            <w:pPr>
              <w:jc w:val="center"/>
              <w:rPr>
                <w:lang w:val="en-GB"/>
              </w:rPr>
            </w:pPr>
            <w:r>
              <w:rPr>
                <w:lang w:val="en-GB"/>
              </w:rPr>
              <w:t>0.00</w:t>
            </w:r>
            <w:r w:rsidR="000C245B">
              <w:rPr>
                <w:lang w:val="en-GB"/>
              </w:rPr>
              <w:t>1</w:t>
            </w:r>
          </w:p>
        </w:tc>
        <w:tc>
          <w:tcPr>
            <w:tcW w:w="1152" w:type="dxa"/>
            <w:vAlign w:val="center"/>
          </w:tcPr>
          <w:p w14:paraId="7AC72563" w14:textId="08DF9D9B" w:rsidR="00131B81" w:rsidRDefault="003C6AFE" w:rsidP="000C245B">
            <w:pPr>
              <w:jc w:val="center"/>
              <w:rPr>
                <w:lang w:val="en-GB"/>
              </w:rPr>
            </w:pPr>
            <w:r>
              <w:rPr>
                <w:lang w:val="en-GB"/>
              </w:rPr>
              <w:t>0.0</w:t>
            </w:r>
            <w:r w:rsidR="000C245B">
              <w:rPr>
                <w:lang w:val="en-GB"/>
              </w:rPr>
              <w:t>0</w:t>
            </w:r>
            <w:r>
              <w:rPr>
                <w:lang w:val="en-GB"/>
              </w:rPr>
              <w:t>0</w:t>
            </w:r>
            <w:r w:rsidR="000C245B">
              <w:rPr>
                <w:lang w:val="en-GB"/>
              </w:rPr>
              <w:t>4</w:t>
            </w:r>
          </w:p>
        </w:tc>
      </w:tr>
      <w:tr w:rsidR="00131B81" w14:paraId="3540A0A8" w14:textId="77777777" w:rsidTr="003C6AFE">
        <w:tc>
          <w:tcPr>
            <w:tcW w:w="1440" w:type="dxa"/>
            <w:vAlign w:val="center"/>
          </w:tcPr>
          <w:p w14:paraId="1C0320FE" w14:textId="2E4442E0" w:rsidR="00131B81" w:rsidRDefault="00131B81" w:rsidP="003C6AFE">
            <w:pPr>
              <w:jc w:val="center"/>
              <w:rPr>
                <w:lang w:val="en-GB"/>
              </w:rPr>
            </w:pPr>
            <w:r>
              <w:rPr>
                <w:lang w:val="en-GB"/>
              </w:rPr>
              <w:t>NOAEC</w:t>
            </w:r>
          </w:p>
        </w:tc>
        <w:tc>
          <w:tcPr>
            <w:tcW w:w="1152" w:type="dxa"/>
            <w:vAlign w:val="center"/>
          </w:tcPr>
          <w:p w14:paraId="3F157C40" w14:textId="6C65584D" w:rsidR="00131B81" w:rsidRDefault="003C6AFE" w:rsidP="000C245B">
            <w:pPr>
              <w:jc w:val="center"/>
              <w:rPr>
                <w:lang w:val="en-GB"/>
              </w:rPr>
            </w:pPr>
            <w:r>
              <w:rPr>
                <w:lang w:val="en-GB"/>
              </w:rPr>
              <w:t>0.00</w:t>
            </w:r>
            <w:r w:rsidR="000C245B">
              <w:rPr>
                <w:lang w:val="en-GB"/>
              </w:rPr>
              <w:t>02</w:t>
            </w:r>
          </w:p>
        </w:tc>
        <w:tc>
          <w:tcPr>
            <w:tcW w:w="1152" w:type="dxa"/>
            <w:vAlign w:val="center"/>
          </w:tcPr>
          <w:p w14:paraId="364C8422" w14:textId="5E1FB8BB" w:rsidR="00131B81" w:rsidRDefault="003C6AFE" w:rsidP="000C245B">
            <w:pPr>
              <w:jc w:val="center"/>
              <w:rPr>
                <w:lang w:val="en-GB"/>
              </w:rPr>
            </w:pPr>
            <w:r>
              <w:rPr>
                <w:lang w:val="en-GB"/>
              </w:rPr>
              <w:t>0.000</w:t>
            </w:r>
            <w:r w:rsidR="000C245B">
              <w:rPr>
                <w:lang w:val="en-GB"/>
              </w:rPr>
              <w:t>03</w:t>
            </w:r>
          </w:p>
        </w:tc>
        <w:tc>
          <w:tcPr>
            <w:tcW w:w="1152" w:type="dxa"/>
            <w:vAlign w:val="center"/>
          </w:tcPr>
          <w:p w14:paraId="3075E0DF" w14:textId="14B41806" w:rsidR="00131B81" w:rsidRDefault="000C245B" w:rsidP="003C6AFE">
            <w:pPr>
              <w:jc w:val="center"/>
              <w:rPr>
                <w:lang w:val="en-GB"/>
              </w:rPr>
            </w:pPr>
            <w:r>
              <w:rPr>
                <w:lang w:val="en-GB"/>
              </w:rPr>
              <w:t>0.00003</w:t>
            </w:r>
          </w:p>
        </w:tc>
      </w:tr>
      <w:tr w:rsidR="00131B81" w14:paraId="33121388" w14:textId="77777777" w:rsidTr="003C6AFE">
        <w:tc>
          <w:tcPr>
            <w:tcW w:w="1440" w:type="dxa"/>
            <w:vAlign w:val="center"/>
          </w:tcPr>
          <w:p w14:paraId="0B60181D" w14:textId="0BC65422" w:rsidR="00131B81" w:rsidRDefault="00131B81" w:rsidP="003C6AFE">
            <w:pPr>
              <w:jc w:val="center"/>
              <w:rPr>
                <w:lang w:val="en-GB"/>
              </w:rPr>
            </w:pPr>
            <w:r>
              <w:rPr>
                <w:lang w:val="en-GB"/>
              </w:rPr>
              <w:t>OEL</w:t>
            </w:r>
          </w:p>
        </w:tc>
        <w:tc>
          <w:tcPr>
            <w:tcW w:w="1152" w:type="dxa"/>
            <w:vAlign w:val="center"/>
          </w:tcPr>
          <w:p w14:paraId="0089C42A" w14:textId="2D17E944" w:rsidR="00131B81" w:rsidRDefault="003C6AFE" w:rsidP="000C245B">
            <w:pPr>
              <w:jc w:val="center"/>
              <w:rPr>
                <w:lang w:val="en-GB"/>
              </w:rPr>
            </w:pPr>
            <w:r>
              <w:rPr>
                <w:lang w:val="en-GB"/>
              </w:rPr>
              <w:t>0.000</w:t>
            </w:r>
            <w:r w:rsidR="000C245B">
              <w:rPr>
                <w:lang w:val="en-GB"/>
              </w:rPr>
              <w:t>1</w:t>
            </w:r>
          </w:p>
        </w:tc>
        <w:tc>
          <w:tcPr>
            <w:tcW w:w="1152" w:type="dxa"/>
            <w:vAlign w:val="center"/>
          </w:tcPr>
          <w:p w14:paraId="40373881" w14:textId="2E065D74" w:rsidR="00131B81" w:rsidRDefault="003C6AFE" w:rsidP="003C6AFE">
            <w:pPr>
              <w:jc w:val="center"/>
              <w:rPr>
                <w:lang w:val="en-GB"/>
              </w:rPr>
            </w:pPr>
            <w:r>
              <w:rPr>
                <w:lang w:val="en-GB"/>
              </w:rPr>
              <w:t>0</w:t>
            </w:r>
          </w:p>
        </w:tc>
        <w:tc>
          <w:tcPr>
            <w:tcW w:w="1152" w:type="dxa"/>
            <w:vAlign w:val="center"/>
          </w:tcPr>
          <w:p w14:paraId="217F7E04" w14:textId="25D9AB5B" w:rsidR="00131B81" w:rsidRDefault="003C6AFE" w:rsidP="003C6AFE">
            <w:pPr>
              <w:jc w:val="center"/>
              <w:rPr>
                <w:lang w:val="en-GB"/>
              </w:rPr>
            </w:pPr>
            <w:r>
              <w:rPr>
                <w:lang w:val="en-GB"/>
              </w:rPr>
              <w:t>0</w:t>
            </w:r>
          </w:p>
        </w:tc>
      </w:tr>
    </w:tbl>
    <w:p w14:paraId="26C5E908" w14:textId="77777777" w:rsidR="00131B81" w:rsidRDefault="00131B81" w:rsidP="00757FA6">
      <w:pPr>
        <w:rPr>
          <w:lang w:val="en-GB"/>
        </w:rPr>
      </w:pPr>
    </w:p>
    <w:p w14:paraId="075B147F" w14:textId="5C9DF979" w:rsidR="004806C1" w:rsidRDefault="004806C1" w:rsidP="004806C1">
      <w:pPr>
        <w:pStyle w:val="Caption"/>
        <w:keepNext/>
      </w:pPr>
      <w:bookmarkStart w:id="19" w:name="_Ref38463509"/>
      <w:bookmarkStart w:id="20" w:name="_Ref38463504"/>
      <w:r>
        <w:t xml:space="preserve">Table </w:t>
      </w:r>
      <w:r w:rsidR="00FF0C86">
        <w:rPr>
          <w:noProof/>
        </w:rPr>
        <w:fldChar w:fldCharType="begin"/>
      </w:r>
      <w:r w:rsidR="00FF0C86">
        <w:rPr>
          <w:noProof/>
        </w:rPr>
        <w:instrText xml:space="preserve"> SEQ Table \* ARABIC </w:instrText>
      </w:r>
      <w:r w:rsidR="00FF0C86">
        <w:rPr>
          <w:noProof/>
        </w:rPr>
        <w:fldChar w:fldCharType="separate"/>
      </w:r>
      <w:r w:rsidR="00832F8A">
        <w:rPr>
          <w:noProof/>
        </w:rPr>
        <w:t>3</w:t>
      </w:r>
      <w:r w:rsidR="00FF0C86">
        <w:rPr>
          <w:noProof/>
        </w:rPr>
        <w:fldChar w:fldCharType="end"/>
      </w:r>
      <w:bookmarkEnd w:id="19"/>
      <w:r>
        <w:t>. Concentrations (mg/m</w:t>
      </w:r>
      <w:r w:rsidRPr="004806C1">
        <w:rPr>
          <w:vertAlign w:val="superscript"/>
        </w:rPr>
        <w:t>3</w:t>
      </w:r>
      <w:r>
        <w:t>) at specific risk metrics by model</w:t>
      </w:r>
      <w:r w:rsidR="00CB7AA8">
        <w:t>s</w:t>
      </w:r>
      <w:bookmarkEnd w:id="20"/>
    </w:p>
    <w:tbl>
      <w:tblPr>
        <w:tblStyle w:val="TableGrid"/>
        <w:tblW w:w="0" w:type="auto"/>
        <w:tblLook w:val="04A0" w:firstRow="1" w:lastRow="0" w:firstColumn="1" w:lastColumn="0" w:noHBand="0" w:noVBand="1"/>
      </w:tblPr>
      <w:tblGrid>
        <w:gridCol w:w="1584"/>
        <w:gridCol w:w="1220"/>
        <w:gridCol w:w="1331"/>
        <w:gridCol w:w="1220"/>
      </w:tblGrid>
      <w:tr w:rsidR="00DF2BD0" w14:paraId="6E8019B7" w14:textId="77777777" w:rsidTr="00131B81">
        <w:tc>
          <w:tcPr>
            <w:tcW w:w="1584" w:type="dxa"/>
          </w:tcPr>
          <w:p w14:paraId="68072C2E" w14:textId="22EAEEA9" w:rsidR="00DF2BD0" w:rsidRPr="004806C1" w:rsidRDefault="004806C1" w:rsidP="004806C1">
            <w:pPr>
              <w:jc w:val="center"/>
              <w:rPr>
                <w:b/>
                <w:lang w:val="en-GB"/>
              </w:rPr>
            </w:pPr>
            <w:r w:rsidRPr="004806C1">
              <w:rPr>
                <w:b/>
                <w:lang w:val="en-GB"/>
              </w:rPr>
              <w:t>AML Risk</w:t>
            </w:r>
          </w:p>
        </w:tc>
        <w:tc>
          <w:tcPr>
            <w:tcW w:w="1152" w:type="dxa"/>
          </w:tcPr>
          <w:p w14:paraId="7636D2C0" w14:textId="55F683F5" w:rsidR="00DF2BD0" w:rsidRPr="004806C1" w:rsidRDefault="00AA6B7E" w:rsidP="004806C1">
            <w:pPr>
              <w:jc w:val="center"/>
              <w:rPr>
                <w:b/>
                <w:lang w:val="en-GB"/>
              </w:rPr>
            </w:pPr>
            <w:r>
              <w:rPr>
                <w:b/>
                <w:lang w:val="en-GB"/>
              </w:rPr>
              <w:t>LNT</w:t>
            </w:r>
          </w:p>
        </w:tc>
        <w:tc>
          <w:tcPr>
            <w:tcW w:w="1152" w:type="dxa"/>
          </w:tcPr>
          <w:p w14:paraId="303FFB20" w14:textId="3D026139" w:rsidR="00DF2BD0" w:rsidRPr="004806C1" w:rsidRDefault="00DF2BD0" w:rsidP="004806C1">
            <w:pPr>
              <w:jc w:val="center"/>
              <w:rPr>
                <w:b/>
                <w:lang w:val="en-GB"/>
              </w:rPr>
            </w:pPr>
            <w:r w:rsidRPr="004806C1">
              <w:rPr>
                <w:b/>
                <w:lang w:val="en-GB"/>
              </w:rPr>
              <w:t>CDS</w:t>
            </w:r>
          </w:p>
        </w:tc>
        <w:tc>
          <w:tcPr>
            <w:tcW w:w="1152" w:type="dxa"/>
          </w:tcPr>
          <w:p w14:paraId="2191B958" w14:textId="1F588C0B" w:rsidR="00DF2BD0" w:rsidRPr="004806C1" w:rsidRDefault="00DF2BD0" w:rsidP="004806C1">
            <w:pPr>
              <w:jc w:val="center"/>
              <w:rPr>
                <w:b/>
                <w:lang w:val="en-GB"/>
              </w:rPr>
            </w:pPr>
            <w:r w:rsidRPr="004806C1">
              <w:rPr>
                <w:b/>
                <w:lang w:val="en-GB"/>
              </w:rPr>
              <w:t>SMS</w:t>
            </w:r>
          </w:p>
        </w:tc>
      </w:tr>
      <w:tr w:rsidR="00131B81" w14:paraId="02394145" w14:textId="77777777" w:rsidTr="00131B81">
        <w:tc>
          <w:tcPr>
            <w:tcW w:w="1584" w:type="dxa"/>
          </w:tcPr>
          <w:p w14:paraId="419C4869" w14:textId="46503889" w:rsidR="00131B81" w:rsidRDefault="00131B81" w:rsidP="00131B81">
            <w:pPr>
              <w:jc w:val="center"/>
              <w:rPr>
                <w:lang w:val="en-GB"/>
              </w:rPr>
            </w:pPr>
            <w:r>
              <w:rPr>
                <w:lang w:val="en-GB"/>
              </w:rPr>
              <w:t>4 in 10,000</w:t>
            </w:r>
          </w:p>
        </w:tc>
        <w:tc>
          <w:tcPr>
            <w:tcW w:w="1152" w:type="dxa"/>
          </w:tcPr>
          <w:p w14:paraId="2392AC27" w14:textId="6D3120A6" w:rsidR="00131B81" w:rsidRDefault="00877C6C" w:rsidP="00131B81">
            <w:pPr>
              <w:jc w:val="center"/>
              <w:rPr>
                <w:lang w:val="en-GB"/>
              </w:rPr>
            </w:pPr>
            <w:r>
              <w:rPr>
                <w:lang w:val="en-GB"/>
              </w:rPr>
              <w:t>2.42</w:t>
            </w:r>
          </w:p>
        </w:tc>
        <w:tc>
          <w:tcPr>
            <w:tcW w:w="1152" w:type="dxa"/>
          </w:tcPr>
          <w:p w14:paraId="4CE31CFF" w14:textId="10BE678F" w:rsidR="00131B81" w:rsidRDefault="00940A24" w:rsidP="00131B81">
            <w:pPr>
              <w:jc w:val="center"/>
              <w:rPr>
                <w:lang w:val="en-GB"/>
              </w:rPr>
            </w:pPr>
            <w:r>
              <w:rPr>
                <w:lang w:val="en-GB"/>
              </w:rPr>
              <w:t>4.099</w:t>
            </w:r>
          </w:p>
        </w:tc>
        <w:tc>
          <w:tcPr>
            <w:tcW w:w="1152" w:type="dxa"/>
          </w:tcPr>
          <w:p w14:paraId="3FDC51C1" w14:textId="7397981C" w:rsidR="00131B81" w:rsidRDefault="00877C6C" w:rsidP="00131B81">
            <w:pPr>
              <w:jc w:val="center"/>
              <w:rPr>
                <w:lang w:val="en-GB"/>
              </w:rPr>
            </w:pPr>
            <w:r>
              <w:rPr>
                <w:lang w:val="en-GB"/>
              </w:rPr>
              <w:t>5.982</w:t>
            </w:r>
          </w:p>
        </w:tc>
      </w:tr>
      <w:tr w:rsidR="00DF2BD0" w14:paraId="1D7ECFE6" w14:textId="77777777" w:rsidTr="00131B81">
        <w:tc>
          <w:tcPr>
            <w:tcW w:w="1584" w:type="dxa"/>
          </w:tcPr>
          <w:p w14:paraId="43677CE3" w14:textId="23014EA6" w:rsidR="00DF2BD0" w:rsidRDefault="00DF2BD0" w:rsidP="004806C1">
            <w:pPr>
              <w:jc w:val="center"/>
              <w:rPr>
                <w:lang w:val="en-GB"/>
              </w:rPr>
            </w:pPr>
            <w:r>
              <w:rPr>
                <w:lang w:val="en-GB"/>
              </w:rPr>
              <w:t>1 in 10,000</w:t>
            </w:r>
          </w:p>
        </w:tc>
        <w:tc>
          <w:tcPr>
            <w:tcW w:w="1152" w:type="dxa"/>
          </w:tcPr>
          <w:p w14:paraId="742EF098" w14:textId="13B9CE8D" w:rsidR="00DF2BD0" w:rsidRDefault="00877C6C" w:rsidP="004806C1">
            <w:pPr>
              <w:jc w:val="center"/>
              <w:rPr>
                <w:lang w:val="en-GB"/>
              </w:rPr>
            </w:pPr>
            <w:r>
              <w:rPr>
                <w:lang w:val="en-GB"/>
              </w:rPr>
              <w:t>0.61</w:t>
            </w:r>
          </w:p>
        </w:tc>
        <w:tc>
          <w:tcPr>
            <w:tcW w:w="1152" w:type="dxa"/>
          </w:tcPr>
          <w:p w14:paraId="47D0F925" w14:textId="5A35C11A" w:rsidR="00DF2BD0" w:rsidRDefault="00940A24" w:rsidP="00940A24">
            <w:pPr>
              <w:jc w:val="center"/>
              <w:rPr>
                <w:lang w:val="en-GB"/>
              </w:rPr>
            </w:pPr>
            <w:r>
              <w:rPr>
                <w:lang w:val="en-GB"/>
              </w:rPr>
              <w:t>2.281</w:t>
            </w:r>
          </w:p>
        </w:tc>
        <w:tc>
          <w:tcPr>
            <w:tcW w:w="1152" w:type="dxa"/>
          </w:tcPr>
          <w:p w14:paraId="36F2D915" w14:textId="5B3DE008" w:rsidR="00DF2BD0" w:rsidRDefault="00877C6C" w:rsidP="004806C1">
            <w:pPr>
              <w:jc w:val="center"/>
              <w:rPr>
                <w:lang w:val="en-GB"/>
              </w:rPr>
            </w:pPr>
            <w:r>
              <w:rPr>
                <w:lang w:val="en-GB"/>
              </w:rPr>
              <w:t>2.345</w:t>
            </w:r>
          </w:p>
        </w:tc>
      </w:tr>
      <w:tr w:rsidR="00131B81" w14:paraId="7100D6F4" w14:textId="77777777" w:rsidTr="00131B81">
        <w:tc>
          <w:tcPr>
            <w:tcW w:w="1584" w:type="dxa"/>
          </w:tcPr>
          <w:p w14:paraId="24FA7928" w14:textId="1EEEC7A1" w:rsidR="00131B81" w:rsidRDefault="00131B81" w:rsidP="00131B81">
            <w:pPr>
              <w:jc w:val="center"/>
              <w:rPr>
                <w:lang w:val="en-GB"/>
              </w:rPr>
            </w:pPr>
            <w:r>
              <w:rPr>
                <w:lang w:val="en-GB"/>
              </w:rPr>
              <w:t>4 in 100,000</w:t>
            </w:r>
          </w:p>
        </w:tc>
        <w:tc>
          <w:tcPr>
            <w:tcW w:w="1152" w:type="dxa"/>
          </w:tcPr>
          <w:p w14:paraId="3806BBC3" w14:textId="6FC867B9" w:rsidR="00131B81" w:rsidRDefault="00877C6C" w:rsidP="00131B81">
            <w:pPr>
              <w:jc w:val="center"/>
              <w:rPr>
                <w:lang w:val="en-GB"/>
              </w:rPr>
            </w:pPr>
            <w:r>
              <w:rPr>
                <w:lang w:val="en-GB"/>
              </w:rPr>
              <w:t>0.24</w:t>
            </w:r>
          </w:p>
        </w:tc>
        <w:tc>
          <w:tcPr>
            <w:tcW w:w="1152" w:type="dxa"/>
          </w:tcPr>
          <w:p w14:paraId="755E0592" w14:textId="764015B8" w:rsidR="00131B81" w:rsidRDefault="00877C6C" w:rsidP="00131B81">
            <w:pPr>
              <w:jc w:val="center"/>
              <w:rPr>
                <w:lang w:val="en-GB"/>
              </w:rPr>
            </w:pPr>
            <w:r>
              <w:rPr>
                <w:lang w:val="en-GB"/>
              </w:rPr>
              <w:t>1.6286</w:t>
            </w:r>
          </w:p>
        </w:tc>
        <w:tc>
          <w:tcPr>
            <w:tcW w:w="1152" w:type="dxa"/>
          </w:tcPr>
          <w:p w14:paraId="3308BB29" w14:textId="138E3B3E" w:rsidR="00131B81" w:rsidRDefault="00877C6C" w:rsidP="00131B81">
            <w:pPr>
              <w:jc w:val="center"/>
              <w:rPr>
                <w:lang w:val="en-GB"/>
              </w:rPr>
            </w:pPr>
            <w:r>
              <w:rPr>
                <w:lang w:val="en-GB"/>
              </w:rPr>
              <w:t>1.6174</w:t>
            </w:r>
          </w:p>
        </w:tc>
      </w:tr>
      <w:tr w:rsidR="00131B81" w14:paraId="08BF48E7" w14:textId="77777777" w:rsidTr="00131B81">
        <w:tc>
          <w:tcPr>
            <w:tcW w:w="1584" w:type="dxa"/>
          </w:tcPr>
          <w:p w14:paraId="48433E49" w14:textId="278F5178" w:rsidR="00131B81" w:rsidRDefault="00131B81" w:rsidP="00131B81">
            <w:pPr>
              <w:jc w:val="center"/>
              <w:rPr>
                <w:lang w:val="en-GB"/>
              </w:rPr>
            </w:pPr>
            <w:r>
              <w:rPr>
                <w:lang w:val="en-GB"/>
              </w:rPr>
              <w:t>1 in 100,000</w:t>
            </w:r>
          </w:p>
        </w:tc>
        <w:tc>
          <w:tcPr>
            <w:tcW w:w="1152" w:type="dxa"/>
          </w:tcPr>
          <w:p w14:paraId="56B942DF" w14:textId="528375B1" w:rsidR="00131B81" w:rsidRDefault="00877C6C" w:rsidP="00131B81">
            <w:pPr>
              <w:jc w:val="center"/>
              <w:rPr>
                <w:lang w:val="en-GB"/>
              </w:rPr>
            </w:pPr>
            <w:r>
              <w:rPr>
                <w:lang w:val="en-GB"/>
              </w:rPr>
              <w:t>0.061</w:t>
            </w:r>
          </w:p>
        </w:tc>
        <w:tc>
          <w:tcPr>
            <w:tcW w:w="1152" w:type="dxa"/>
          </w:tcPr>
          <w:p w14:paraId="1C474260" w14:textId="1846DBAC" w:rsidR="00131B81" w:rsidRDefault="00877C6C" w:rsidP="00131B81">
            <w:pPr>
              <w:jc w:val="center"/>
              <w:rPr>
                <w:lang w:val="en-GB"/>
              </w:rPr>
            </w:pPr>
            <w:r>
              <w:rPr>
                <w:lang w:val="en-GB"/>
              </w:rPr>
              <w:t>1.1039</w:t>
            </w:r>
          </w:p>
        </w:tc>
        <w:tc>
          <w:tcPr>
            <w:tcW w:w="1152" w:type="dxa"/>
          </w:tcPr>
          <w:p w14:paraId="74CA1CC9" w14:textId="71661D30" w:rsidR="00131B81" w:rsidRDefault="00877C6C" w:rsidP="00131B81">
            <w:pPr>
              <w:jc w:val="center"/>
              <w:rPr>
                <w:lang w:val="en-GB"/>
              </w:rPr>
            </w:pPr>
            <w:r>
              <w:rPr>
                <w:lang w:val="en-GB"/>
              </w:rPr>
              <w:t>1.04</w:t>
            </w:r>
          </w:p>
        </w:tc>
      </w:tr>
      <w:tr w:rsidR="00131B81" w14:paraId="3120791A" w14:textId="77777777" w:rsidTr="00131B81">
        <w:tc>
          <w:tcPr>
            <w:tcW w:w="1584" w:type="dxa"/>
          </w:tcPr>
          <w:p w14:paraId="0CB96C07" w14:textId="7739E37E" w:rsidR="00131B81" w:rsidRDefault="00131B81" w:rsidP="00131B81">
            <w:pPr>
              <w:jc w:val="center"/>
              <w:rPr>
                <w:lang w:val="en-GB"/>
              </w:rPr>
            </w:pPr>
            <w:r>
              <w:rPr>
                <w:lang w:val="en-GB"/>
              </w:rPr>
              <w:t>1 in 1,000,000</w:t>
            </w:r>
          </w:p>
        </w:tc>
        <w:tc>
          <w:tcPr>
            <w:tcW w:w="1152" w:type="dxa"/>
          </w:tcPr>
          <w:p w14:paraId="4071FF77" w14:textId="757AB41E" w:rsidR="00131B81" w:rsidRDefault="00877C6C" w:rsidP="00131B81">
            <w:pPr>
              <w:jc w:val="center"/>
              <w:rPr>
                <w:lang w:val="en-GB"/>
              </w:rPr>
            </w:pPr>
            <w:r>
              <w:rPr>
                <w:lang w:val="en-GB"/>
              </w:rPr>
              <w:t>0.006</w:t>
            </w:r>
          </w:p>
        </w:tc>
        <w:tc>
          <w:tcPr>
            <w:tcW w:w="1152" w:type="dxa"/>
          </w:tcPr>
          <w:p w14:paraId="70625789" w14:textId="7F5CE27F" w:rsidR="00131B81" w:rsidRDefault="00877C6C" w:rsidP="00131B81">
            <w:pPr>
              <w:jc w:val="center"/>
              <w:rPr>
                <w:lang w:val="en-GB"/>
              </w:rPr>
            </w:pPr>
            <w:r>
              <w:rPr>
                <w:lang w:val="en-GB"/>
              </w:rPr>
              <w:t>0.8378</w:t>
            </w:r>
          </w:p>
        </w:tc>
        <w:tc>
          <w:tcPr>
            <w:tcW w:w="1152" w:type="dxa"/>
          </w:tcPr>
          <w:p w14:paraId="07C524C6" w14:textId="296A2F3A" w:rsidR="00131B81" w:rsidRDefault="00877C6C" w:rsidP="00131B81">
            <w:pPr>
              <w:jc w:val="center"/>
              <w:rPr>
                <w:lang w:val="en-GB"/>
              </w:rPr>
            </w:pPr>
            <w:r>
              <w:rPr>
                <w:lang w:val="en-GB"/>
              </w:rPr>
              <w:t>0.821</w:t>
            </w:r>
          </w:p>
        </w:tc>
      </w:tr>
    </w:tbl>
    <w:p w14:paraId="1A5CD5BF" w14:textId="77777777" w:rsidR="00131B81" w:rsidRDefault="00131B81" w:rsidP="00757FA6">
      <w:pPr>
        <w:rPr>
          <w:lang w:val="en-GB"/>
        </w:rPr>
      </w:pPr>
    </w:p>
    <w:p w14:paraId="7680B6C9" w14:textId="77777777" w:rsidR="00131B81" w:rsidRDefault="00131B81" w:rsidP="00757FA6">
      <w:pPr>
        <w:rPr>
          <w:lang w:val="en-GB"/>
        </w:rPr>
      </w:pPr>
    </w:p>
    <w:p w14:paraId="38A190E8" w14:textId="20977D4B" w:rsidR="001177B7" w:rsidRPr="00CD48FA" w:rsidRDefault="001177B7" w:rsidP="001177B7">
      <w:pPr>
        <w:pStyle w:val="Heading1"/>
        <w:rPr>
          <w:lang w:val="en-GB"/>
        </w:rPr>
      </w:pPr>
      <w:r w:rsidRPr="00CD48FA">
        <w:rPr>
          <w:lang w:val="en-GB"/>
        </w:rPr>
        <w:t>Discussion</w:t>
      </w:r>
    </w:p>
    <w:p w14:paraId="27130AF1" w14:textId="71366A12" w:rsidR="001177B7" w:rsidRDefault="00436B27" w:rsidP="001177B7">
      <w:pPr>
        <w:rPr>
          <w:lang w:val="en-GB"/>
        </w:rPr>
      </w:pPr>
      <w:r w:rsidRPr="4F9A8300">
        <w:rPr>
          <w:lang w:val="en-GB"/>
        </w:rPr>
        <w:t xml:space="preserve">Risk assessments for benzene require model selection, and </w:t>
      </w:r>
      <w:r w:rsidR="002630BB" w:rsidRPr="4F9A8300">
        <w:rPr>
          <w:lang w:val="en-GB"/>
        </w:rPr>
        <w:t>historically</w:t>
      </w:r>
      <w:r w:rsidRPr="4F9A8300">
        <w:rPr>
          <w:lang w:val="en-GB"/>
        </w:rPr>
        <w:t xml:space="preserve"> relied on </w:t>
      </w:r>
      <w:r w:rsidR="00AA6B7E" w:rsidRPr="4F9A8300">
        <w:rPr>
          <w:lang w:val="en-GB"/>
        </w:rPr>
        <w:t>LNT</w:t>
      </w:r>
      <w:r w:rsidR="00492D16" w:rsidRPr="4F9A8300">
        <w:rPr>
          <w:lang w:val="en-GB"/>
        </w:rPr>
        <w:t xml:space="preserve"> models</w:t>
      </w:r>
      <w:r w:rsidRPr="4F9A8300">
        <w:rPr>
          <w:lang w:val="en-GB"/>
        </w:rPr>
        <w:t xml:space="preserve">. While understandable, data accumulating </w:t>
      </w:r>
      <w:r w:rsidR="000635B6">
        <w:rPr>
          <w:lang w:val="en-GB"/>
        </w:rPr>
        <w:t>since</w:t>
      </w:r>
      <w:r w:rsidR="000635B6" w:rsidRPr="4F9A8300">
        <w:rPr>
          <w:lang w:val="en-GB"/>
        </w:rPr>
        <w:t xml:space="preserve"> </w:t>
      </w:r>
      <w:r w:rsidRPr="4F9A8300">
        <w:rPr>
          <w:lang w:val="en-GB"/>
        </w:rPr>
        <w:t xml:space="preserve">the 2000s have increasingly built the case for a threshold </w:t>
      </w:r>
      <w:r w:rsidR="00F835F2">
        <w:rPr>
          <w:lang w:val="en-GB"/>
        </w:rPr>
        <w:t>risk of AML from occupational benzene exposure</w:t>
      </w:r>
      <w:r w:rsidR="000635B6">
        <w:rPr>
          <w:lang w:val="en-GB"/>
        </w:rPr>
        <w:t xml:space="preserve"> </w:t>
      </w:r>
      <w:r w:rsidR="000635B6">
        <w:rPr>
          <w:lang w:val="en-GB"/>
        </w:rPr>
        <w:fldChar w:fldCharType="begin">
          <w:fldData xml:space="preserve">PEVuZE5vdGU+PENpdGU+PEF1dGhvcj5Db21taXR0ZWUgZm9yIFJpc2sgQXNzZXNzbWVudDwvQXV0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</w:fldData>
        </w:fldChar>
      </w:r>
      <w:r w:rsidR="00CA7A02">
        <w:rPr>
          <w:lang w:val="en-GB"/>
        </w:rPr>
        <w:instrText xml:space="preserve"> ADDIN EN.CITE </w:instrText>
      </w:r>
      <w:r w:rsidR="00CA7A02">
        <w:rPr>
          <w:lang w:val="en-GB"/>
        </w:rPr>
        <w:fldChar w:fldCharType="begin">
          <w:fldData xml:space="preserve">PEVuZE5vdGU+PENpdGU+PEF1dGhvcj5Db21taXR0ZWUgZm9yIFJpc2sgQXNzZXNzbWVudDwvQXV0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</w:fldData>
        </w:fldChar>
      </w:r>
      <w:r w:rsidR="00CA7A02">
        <w:rPr>
          <w:lang w:val="en-GB"/>
        </w:rPr>
        <w:instrText xml:space="preserve"> ADDIN EN.CITE.DATA </w:instrText>
      </w:r>
      <w:r w:rsidR="00CA7A02">
        <w:rPr>
          <w:lang w:val="en-GB"/>
        </w:rPr>
      </w:r>
      <w:r w:rsidR="00CA7A02">
        <w:rPr>
          <w:lang w:val="en-GB"/>
        </w:rPr>
        <w:fldChar w:fldCharType="end"/>
      </w:r>
      <w:r w:rsidR="000635B6">
        <w:rPr>
          <w:lang w:val="en-GB"/>
        </w:rPr>
      </w:r>
      <w:r w:rsidR="000635B6">
        <w:rPr>
          <w:lang w:val="en-GB"/>
        </w:rPr>
        <w:fldChar w:fldCharType="separate"/>
      </w:r>
      <w:r w:rsidR="000635B6">
        <w:rPr>
          <w:noProof/>
          <w:lang w:val="en-GB"/>
        </w:rPr>
        <w:t>(</w:t>
      </w:r>
      <w:hyperlink w:anchor="_ENREF_10" w:tooltip="Committee for Risk Assessment, 2018 #947" w:history="1">
        <w:r w:rsidR="004C59A6">
          <w:rPr>
            <w:noProof/>
            <w:lang w:val="en-GB"/>
          </w:rPr>
          <w:t>Committee for Risk Assessment, 2018</w:t>
        </w:r>
      </w:hyperlink>
      <w:r w:rsidR="000635B6">
        <w:rPr>
          <w:noProof/>
          <w:lang w:val="en-GB"/>
        </w:rPr>
        <w:t xml:space="preserve">; </w:t>
      </w:r>
      <w:hyperlink w:anchor="_ENREF_13" w:tooltip="Dutch Expert Committee on Occupational Safety, 2014 #508" w:history="1">
        <w:r w:rsidR="004C59A6">
          <w:rPr>
            <w:noProof/>
            <w:lang w:val="en-GB"/>
          </w:rPr>
          <w:t>Dutch Expert Committee on Occupational Safety, 2014</w:t>
        </w:r>
      </w:hyperlink>
      <w:r w:rsidR="000635B6">
        <w:rPr>
          <w:noProof/>
          <w:lang w:val="en-GB"/>
        </w:rPr>
        <w:t xml:space="preserve">; </w:t>
      </w:r>
      <w:hyperlink w:anchor="_ENREF_23" w:tooltip="North, 2020 #1068" w:history="1">
        <w:r w:rsidR="004C59A6">
          <w:rPr>
            <w:noProof/>
            <w:lang w:val="en-GB"/>
          </w:rPr>
          <w:t>North et al., 2020</w:t>
        </w:r>
      </w:hyperlink>
      <w:r w:rsidR="000635B6">
        <w:rPr>
          <w:noProof/>
          <w:lang w:val="en-GB"/>
        </w:rPr>
        <w:t>)</w:t>
      </w:r>
      <w:r w:rsidR="000635B6">
        <w:rPr>
          <w:lang w:val="en-GB"/>
        </w:rPr>
        <w:fldChar w:fldCharType="end"/>
      </w:r>
      <w:r>
        <w:rPr>
          <w:lang w:val="en-GB"/>
        </w:rPr>
        <w:t>.</w:t>
      </w:r>
      <w:r w:rsidRPr="4F9A8300">
        <w:rPr>
          <w:lang w:val="en-GB"/>
        </w:rPr>
        <w:t xml:space="preserve"> Risk modelers may wish to incorporate </w:t>
      </w:r>
      <w:r w:rsidR="00492D16" w:rsidRPr="4F9A8300">
        <w:rPr>
          <w:lang w:val="en-GB"/>
        </w:rPr>
        <w:t>a threshold in models used for benefit cost assessment</w:t>
      </w:r>
      <w:r w:rsidR="001F1FE5" w:rsidRPr="4F9A8300">
        <w:rPr>
          <w:lang w:val="en-GB"/>
        </w:rPr>
        <w:t xml:space="preserve">, but the observed data for mortality </w:t>
      </w:r>
      <w:r w:rsidR="000635B6">
        <w:rPr>
          <w:lang w:val="en-GB"/>
        </w:rPr>
        <w:t>may</w:t>
      </w:r>
      <w:r w:rsidR="000635B6" w:rsidRPr="4F9A8300">
        <w:rPr>
          <w:lang w:val="en-GB"/>
        </w:rPr>
        <w:t xml:space="preserve"> </w:t>
      </w:r>
      <w:r w:rsidR="001F1FE5" w:rsidRPr="4F9A8300">
        <w:rPr>
          <w:lang w:val="en-GB"/>
        </w:rPr>
        <w:t>leave uncertainty in the lower exposure range.</w:t>
      </w:r>
      <w:r w:rsidR="00492D16" w:rsidRPr="4F9A8300">
        <w:rPr>
          <w:lang w:val="en-GB"/>
        </w:rPr>
        <w:t xml:space="preserve"> One option is to shift the lower anchor point from the origin to the OEL (or other exposure limit), but this approach discards potentially useful </w:t>
      </w:r>
      <w:r w:rsidR="4A514351" w:rsidRPr="4F9A8300">
        <w:rPr>
          <w:lang w:val="en-GB"/>
        </w:rPr>
        <w:t xml:space="preserve">information </w:t>
      </w:r>
      <w:r w:rsidR="00492D16" w:rsidRPr="4F9A8300">
        <w:rPr>
          <w:lang w:val="en-GB"/>
        </w:rPr>
        <w:t>about key events in the causal chain to an adverse outcome.</w:t>
      </w:r>
      <w:r w:rsidR="001F1FE5" w:rsidRPr="4F9A8300">
        <w:rPr>
          <w:lang w:val="en-GB"/>
        </w:rPr>
        <w:t xml:space="preserve"> In scenarios where </w:t>
      </w:r>
      <w:r w:rsidR="00492D16" w:rsidRPr="4F9A8300">
        <w:rPr>
          <w:lang w:val="en-GB"/>
        </w:rPr>
        <w:t xml:space="preserve">such </w:t>
      </w:r>
      <w:r w:rsidR="001F1FE5" w:rsidRPr="4F9A8300">
        <w:rPr>
          <w:lang w:val="en-GB"/>
        </w:rPr>
        <w:t>key events can be identified, it would be reasonable to modify the estimated response based on that information that introduces flexibility into the risk model.</w:t>
      </w:r>
    </w:p>
    <w:p w14:paraId="4A48C767" w14:textId="0AC0FD9C" w:rsidR="00436B27" w:rsidRDefault="00436B27" w:rsidP="001177B7">
      <w:pPr>
        <w:rPr>
          <w:lang w:val="en-GB"/>
        </w:rPr>
      </w:pPr>
      <w:r w:rsidRPr="1553EFF0">
        <w:rPr>
          <w:lang w:val="en-GB"/>
        </w:rPr>
        <w:t xml:space="preserve">The introduction of flexible response curves is not novel, but knot selection in the response curve has not typically been informed by key events. Such an approach was illustrated by the </w:t>
      </w:r>
      <w:r w:rsidR="00257D95" w:rsidRPr="1553EFF0">
        <w:rPr>
          <w:lang w:val="en-GB"/>
        </w:rPr>
        <w:t xml:space="preserve">German </w:t>
      </w:r>
      <w:r w:rsidR="00257D95" w:rsidRPr="1553EFF0">
        <w:rPr>
          <w:color w:val="222222"/>
          <w:lang w:val="en"/>
        </w:rPr>
        <w:t xml:space="preserve">Committee for </w:t>
      </w:r>
      <w:r w:rsidR="000635B6">
        <w:rPr>
          <w:color w:val="222222"/>
          <w:lang w:val="en"/>
        </w:rPr>
        <w:t>H</w:t>
      </w:r>
      <w:r w:rsidR="00257D95" w:rsidRPr="1553EFF0">
        <w:rPr>
          <w:color w:val="222222"/>
          <w:lang w:val="en"/>
        </w:rPr>
        <w:t xml:space="preserve">azardous </w:t>
      </w:r>
      <w:r w:rsidR="000635B6">
        <w:rPr>
          <w:color w:val="222222"/>
          <w:lang w:val="en"/>
        </w:rPr>
        <w:t>S</w:t>
      </w:r>
      <w:r w:rsidR="00257D95" w:rsidRPr="1553EFF0">
        <w:rPr>
          <w:color w:val="222222"/>
          <w:lang w:val="en"/>
        </w:rPr>
        <w:t>ubstances</w:t>
      </w:r>
      <w:r w:rsidR="00257D95" w:rsidRPr="1553EFF0">
        <w:rPr>
          <w:lang w:val="en-GB"/>
        </w:rPr>
        <w:t xml:space="preserve"> </w:t>
      </w:r>
      <w:r w:rsidR="00986BAE" w:rsidRPr="1553EFF0">
        <w:rPr>
          <w:lang w:val="en-GB"/>
        </w:rPr>
        <w:t>(</w:t>
      </w:r>
      <w:r w:rsidRPr="1553EFF0">
        <w:rPr>
          <w:lang w:val="en-GB"/>
        </w:rPr>
        <w:t>Ausschuss für Gefahrstoffe</w:t>
      </w:r>
      <w:r w:rsidR="00986BAE" w:rsidRPr="1553EFF0">
        <w:rPr>
          <w:lang w:val="en-GB"/>
        </w:rPr>
        <w:t>)</w:t>
      </w:r>
      <w:r w:rsidRPr="1553EFF0">
        <w:rPr>
          <w:lang w:val="en-GB"/>
        </w:rPr>
        <w:t xml:space="preserve"> in their risk modelling of benzene exposure and </w:t>
      </w:r>
      <w:r w:rsidR="4EB4DB65" w:rsidRPr="1553EFF0">
        <w:rPr>
          <w:lang w:val="en-GB"/>
        </w:rPr>
        <w:t>leukaem</w:t>
      </w:r>
      <w:r w:rsidRPr="1553EFF0">
        <w:rPr>
          <w:lang w:val="en-GB"/>
        </w:rPr>
        <w:t>ia mortality</w:t>
      </w:r>
      <w:r w:rsidR="001F1FE5" w:rsidRPr="1553EFF0">
        <w:rPr>
          <w:lang w:val="en-GB"/>
        </w:rPr>
        <w:t xml:space="preserve"> </w:t>
      </w:r>
      <w:r w:rsidRPr="1553EFF0">
        <w:rPr>
          <w:lang w:val="en-GB"/>
        </w:rPr>
        <w:fldChar w:fldCharType="begin"/>
      </w:r>
      <w:r w:rsidR="004C6879">
        <w:rPr>
          <w:lang w:val="en-GB"/>
        </w:rPr>
        <w:instrText xml:space="preserve"> ADDIN EN.CITE &lt;EndNote&gt;&lt;Cite&gt;&lt;Author&gt;AGS&lt;/Author&gt;&lt;Year&gt;2012&lt;/Year&gt;&lt;RecNum&gt;1092&lt;/RecNum&gt;&lt;DisplayText&gt;(AGS, 2012)&lt;/DisplayText&gt;&lt;record&gt;&lt;rec-number&gt;1092&lt;/rec-number&gt;&lt;foreign-keys&gt;&lt;key app="EN" db-id="0d0929f959rse9ex25rp09za5avf0ept9spf" timestamp="1580849538"&gt;1092&lt;/key&gt;&lt;/foreign-keys&gt;&lt;ref-type name="Government Document"&gt;46&lt;/ref-type&gt;&lt;contributors&gt;&lt;authors&gt;&lt;author&gt;AGS&lt;/author&gt;&lt;/authors&gt;&lt;/contributors&gt;&lt;titles&gt;&lt;title&gt;Begründung zu Benzol in BekGS&lt;/title&gt;&lt;/titles&gt;&lt;dates&gt;&lt;year&gt;2012&lt;/year&gt;&lt;/dates&gt;&lt;isbn&gt;910&lt;/isbn&gt;&lt;urls&gt;&lt;related-urls&gt;&lt;url&gt;https://www.baua.de/DE/Angebote/Rechtstexte-und-Technische-Regeln/Regelwerk/TRGS/pdf/910/910-benzol.pdf?__blob=publicationFile&amp;amp;v=2&lt;/url&gt;&lt;/related-urls&gt;&lt;/urls&gt;&lt;custom1&gt;Bundesanstalt fur Arbeitsschutz und Arbeitsmedizin&lt;/custom1&gt;&lt;/record&gt;&lt;/Cite&gt;&lt;/EndNote&gt;</w:instrText>
      </w:r>
      <w:r w:rsidRPr="1553EFF0">
        <w:rPr>
          <w:lang w:val="en-GB"/>
        </w:rPr>
        <w:fldChar w:fldCharType="separate"/>
      </w:r>
      <w:r w:rsidR="004C6879">
        <w:rPr>
          <w:noProof/>
          <w:lang w:val="en-GB"/>
        </w:rPr>
        <w:t>(</w:t>
      </w:r>
      <w:hyperlink w:anchor="_ENREF_3" w:tooltip="AGS, 2012 #1092" w:history="1">
        <w:r w:rsidR="004C59A6">
          <w:rPr>
            <w:noProof/>
            <w:lang w:val="en-GB"/>
          </w:rPr>
          <w:t>AGS, 2012</w:t>
        </w:r>
      </w:hyperlink>
      <w:r w:rsidR="004C6879">
        <w:rPr>
          <w:noProof/>
          <w:lang w:val="en-GB"/>
        </w:rPr>
        <w:t>)</w:t>
      </w:r>
      <w:r w:rsidRPr="1553EFF0">
        <w:rPr>
          <w:lang w:val="en-GB"/>
        </w:rPr>
        <w:fldChar w:fldCharType="end"/>
      </w:r>
      <w:r w:rsidRPr="1553EFF0">
        <w:rPr>
          <w:lang w:val="en-GB"/>
        </w:rPr>
        <w:t>, in which a kink function was described using a benchmark dose lower limit value derived by the United States Agency for Toxic Substances and Disease Registry based on hema</w:t>
      </w:r>
      <w:r w:rsidR="00986BAE" w:rsidRPr="1553EFF0">
        <w:rPr>
          <w:lang w:val="en-GB"/>
        </w:rPr>
        <w:t>to</w:t>
      </w:r>
      <w:r w:rsidRPr="1553EFF0">
        <w:rPr>
          <w:lang w:val="en-GB"/>
        </w:rPr>
        <w:t>toxicity</w:t>
      </w:r>
      <w:r w:rsidR="001F1FE5" w:rsidRPr="1553EFF0">
        <w:rPr>
          <w:lang w:val="en-GB"/>
        </w:rPr>
        <w:t xml:space="preserve"> </w:t>
      </w:r>
      <w:r w:rsidRPr="1553EFF0">
        <w:rPr>
          <w:lang w:val="en-GB"/>
        </w:rPr>
        <w:fldChar w:fldCharType="begin"/>
      </w:r>
      <w:r w:rsidR="004C59A6">
        <w:rPr>
          <w:lang w:val="en-GB"/>
        </w:rPr>
        <w:instrText xml:space="preserve"> ADDIN EN.CITE &lt;EndNote&gt;&lt;Cite ExcludeAuth="1"&gt;&lt;Author&gt;Agency for Toxic Substances and Disease Registry&lt;/Author&gt;&lt;Year&gt;2007&lt;/Year&gt;&lt;RecNum&gt;436&lt;/RecNum&gt;&lt;DisplayText&gt;(2007)&lt;/DisplayText&gt;&lt;record&gt;&lt;rec-number&gt;436&lt;/rec-number&gt;&lt;foreign-keys&gt;&lt;key app="EN" db-id="0d0929f959rse9ex25rp09za5avf0ept9spf" timestamp="1484940984"&gt;436&lt;/key&gt;&lt;/foreign-keys&gt;&lt;ref-type name="Press Release"&gt;63&lt;/ref-type&gt;&lt;contributors&gt;&lt;authors&gt;&lt;author&gt;Agency for Toxic Substances and Disease Registry,&lt;/author&gt;&lt;/authors&gt;&lt;/contributors&gt;&lt;titles&gt;&lt;title&gt;Toxicological Profile for Benzene&lt;/title&gt;&lt;/titles&gt;&lt;dates&gt;&lt;year&gt;2007&lt;/year&gt;&lt;/dates&gt;&lt;urls&gt;&lt;/urls&gt;&lt;/record&gt;&lt;/Cite&gt;&lt;/EndNote&gt;</w:instrText>
      </w:r>
      <w:r w:rsidRPr="1553EFF0">
        <w:rPr>
          <w:lang w:val="en-GB"/>
        </w:rPr>
        <w:fldChar w:fldCharType="separate"/>
      </w:r>
      <w:r w:rsidR="004C59A6">
        <w:rPr>
          <w:noProof/>
          <w:lang w:val="en-GB"/>
        </w:rPr>
        <w:t>(</w:t>
      </w:r>
      <w:hyperlink w:anchor="_ENREF_2" w:tooltip="Agency for Toxic Substances and Disease Registry, 2007 #436" w:history="1">
        <w:r w:rsidR="004C59A6">
          <w:rPr>
            <w:noProof/>
            <w:lang w:val="en-GB"/>
          </w:rPr>
          <w:t>2007</w:t>
        </w:r>
      </w:hyperlink>
      <w:r w:rsidR="004C59A6">
        <w:rPr>
          <w:noProof/>
          <w:lang w:val="en-GB"/>
        </w:rPr>
        <w:t>)</w:t>
      </w:r>
      <w:r w:rsidRPr="1553EFF0">
        <w:rPr>
          <w:lang w:val="en-GB"/>
        </w:rPr>
        <w:fldChar w:fldCharType="end"/>
      </w:r>
      <w:r w:rsidRPr="1553EFF0">
        <w:rPr>
          <w:lang w:val="en-GB"/>
        </w:rPr>
        <w:t xml:space="preserve">. The </w:t>
      </w:r>
      <w:r w:rsidR="002D2F9E" w:rsidRPr="1553EFF0">
        <w:rPr>
          <w:lang w:val="en-GB"/>
        </w:rPr>
        <w:t xml:space="preserve">CDS and SMS </w:t>
      </w:r>
      <w:r w:rsidRPr="1553EFF0">
        <w:rPr>
          <w:lang w:val="en-GB"/>
        </w:rPr>
        <w:t>models are informed by their approach, but expand that ap</w:t>
      </w:r>
      <w:r w:rsidR="002868D7" w:rsidRPr="1553EFF0">
        <w:rPr>
          <w:lang w:val="en-GB"/>
        </w:rPr>
        <w:t>plication to consider LOAELs,</w:t>
      </w:r>
      <w:r w:rsidRPr="1553EFF0">
        <w:rPr>
          <w:lang w:val="en-GB"/>
        </w:rPr>
        <w:t xml:space="preserve"> NOAELs</w:t>
      </w:r>
      <w:r w:rsidR="002868D7" w:rsidRPr="1553EFF0">
        <w:rPr>
          <w:lang w:val="en-GB"/>
        </w:rPr>
        <w:t>, and OELs</w:t>
      </w:r>
      <w:r w:rsidRPr="1553EFF0">
        <w:rPr>
          <w:lang w:val="en-GB"/>
        </w:rPr>
        <w:t xml:space="preserve"> as points of change.</w:t>
      </w:r>
    </w:p>
    <w:p w14:paraId="7F891CBD" w14:textId="746E7F6B" w:rsidR="003D719E" w:rsidRDefault="003D719E" w:rsidP="001177B7">
      <w:pPr>
        <w:rPr>
          <w:lang w:val="en-GB"/>
        </w:rPr>
      </w:pPr>
      <w:r>
        <w:rPr>
          <w:lang w:val="en-GB"/>
        </w:rPr>
        <w:t xml:space="preserve">One distinction from the AGS approach and that taken here is </w:t>
      </w:r>
      <w:r w:rsidR="00E61A5C">
        <w:rPr>
          <w:lang w:val="en-GB"/>
        </w:rPr>
        <w:t xml:space="preserve">in the utilization of an </w:t>
      </w:r>
      <w:r>
        <w:rPr>
          <w:lang w:val="en-GB"/>
        </w:rPr>
        <w:t xml:space="preserve">ED01 instead of ED10 as an anchor point. Estimation of an ED10 value requires extrapolation to levels of risk well above that observed all the studies except the Pliofilm cohort. Utilization of an ED01 value reduces the amount of extrapolation needed for risk estimates, placing the benchmark within the observed range for increased risk instead above it, </w:t>
      </w:r>
      <w:r w:rsidR="00E61A5C">
        <w:rPr>
          <w:lang w:val="en-GB"/>
        </w:rPr>
        <w:t xml:space="preserve">thus </w:t>
      </w:r>
      <w:r>
        <w:rPr>
          <w:lang w:val="en-GB"/>
        </w:rPr>
        <w:t>potentially reducing the chance of misestimating the point of departure.</w:t>
      </w:r>
    </w:p>
    <w:p w14:paraId="473280FF" w14:textId="075F2BD7" w:rsidR="00436B27" w:rsidRDefault="002630BB" w:rsidP="001177B7">
      <w:pPr>
        <w:rPr>
          <w:lang w:val="en-GB"/>
        </w:rPr>
      </w:pPr>
      <w:r w:rsidRPr="1DFC466C">
        <w:rPr>
          <w:lang w:val="en-GB"/>
        </w:rPr>
        <w:t>A</w:t>
      </w:r>
      <w:r w:rsidR="00436B27" w:rsidRPr="1DFC466C">
        <w:rPr>
          <w:lang w:val="en-GB"/>
        </w:rPr>
        <w:t xml:space="preserve"> </w:t>
      </w:r>
      <w:r w:rsidRPr="1DFC466C">
        <w:rPr>
          <w:lang w:val="en-GB"/>
        </w:rPr>
        <w:t>simple</w:t>
      </w:r>
      <w:r w:rsidR="00436B27" w:rsidRPr="1DFC466C">
        <w:rPr>
          <w:lang w:val="en-GB"/>
        </w:rPr>
        <w:t xml:space="preserve"> approach (</w:t>
      </w:r>
      <w:r w:rsidR="00436B27" w:rsidRPr="1DFC466C">
        <w:rPr>
          <w:i/>
          <w:iCs/>
          <w:lang w:val="en-GB"/>
        </w:rPr>
        <w:t xml:space="preserve">i.e., </w:t>
      </w:r>
      <w:r w:rsidR="00436B27" w:rsidRPr="1DFC466C">
        <w:rPr>
          <w:lang w:val="en-GB"/>
        </w:rPr>
        <w:t xml:space="preserve">linearly decreasing function) </w:t>
      </w:r>
      <w:r w:rsidR="001D4593" w:rsidRPr="1DFC466C">
        <w:rPr>
          <w:lang w:val="en-GB"/>
        </w:rPr>
        <w:t>for</w:t>
      </w:r>
      <w:r w:rsidR="00436B27" w:rsidRPr="1DFC466C">
        <w:rPr>
          <w:lang w:val="en-GB"/>
        </w:rPr>
        <w:t xml:space="preserve"> </w:t>
      </w:r>
      <w:r w:rsidR="001F1FE5" w:rsidRPr="1DFC466C">
        <w:rPr>
          <w:lang w:val="en-GB"/>
        </w:rPr>
        <w:t>modifying the response</w:t>
      </w:r>
      <w:r w:rsidR="00436B27" w:rsidRPr="1DFC466C">
        <w:rPr>
          <w:lang w:val="en-GB"/>
        </w:rPr>
        <w:t xml:space="preserve"> slope was applied</w:t>
      </w:r>
      <w:r w:rsidRPr="1DFC466C">
        <w:rPr>
          <w:lang w:val="en-GB"/>
        </w:rPr>
        <w:t xml:space="preserve"> in the illustration of the CDS model above</w:t>
      </w:r>
      <w:r w:rsidR="00436B27" w:rsidRPr="1DFC466C">
        <w:rPr>
          <w:lang w:val="en-GB"/>
        </w:rPr>
        <w:t>. Assessors could certainly apply other functions to increase or decrease the rate of slope reduction. Such selection could likely be informed by an understanding of the dos</w:t>
      </w:r>
      <w:r w:rsidR="002868D7" w:rsidRPr="1DFC466C">
        <w:rPr>
          <w:lang w:val="en-GB"/>
        </w:rPr>
        <w:t>e</w:t>
      </w:r>
      <w:r w:rsidR="001D4593" w:rsidRPr="1DFC466C">
        <w:rPr>
          <w:lang w:val="en-GB"/>
        </w:rPr>
        <w:t>-</w:t>
      </w:r>
      <w:r w:rsidR="002868D7" w:rsidRPr="1DFC466C">
        <w:rPr>
          <w:lang w:val="en-GB"/>
        </w:rPr>
        <w:t xml:space="preserve">response connecting the LOAEL, </w:t>
      </w:r>
      <w:r w:rsidR="00436B27" w:rsidRPr="1DFC466C">
        <w:rPr>
          <w:lang w:val="en-GB"/>
        </w:rPr>
        <w:t>NOAEL</w:t>
      </w:r>
      <w:r w:rsidR="002868D7" w:rsidRPr="1DFC466C">
        <w:rPr>
          <w:lang w:val="en-GB"/>
        </w:rPr>
        <w:t>, and OEL. A</w:t>
      </w:r>
      <w:r w:rsidR="00436B27" w:rsidRPr="1DFC466C">
        <w:rPr>
          <w:lang w:val="en-GB"/>
        </w:rPr>
        <w:t xml:space="preserve"> steep dose</w:t>
      </w:r>
      <w:r w:rsidR="001D4593" w:rsidRPr="1DFC466C">
        <w:rPr>
          <w:lang w:val="en-GB"/>
        </w:rPr>
        <w:t>-</w:t>
      </w:r>
      <w:r w:rsidR="00436B27" w:rsidRPr="1DFC466C">
        <w:rPr>
          <w:lang w:val="en-GB"/>
        </w:rPr>
        <w:t xml:space="preserve">response </w:t>
      </w:r>
      <w:r w:rsidR="001F1FE5" w:rsidRPr="1DFC466C">
        <w:rPr>
          <w:lang w:val="en-GB"/>
        </w:rPr>
        <w:t xml:space="preserve">for key events </w:t>
      </w:r>
      <w:r w:rsidR="00436B27" w:rsidRPr="1DFC466C">
        <w:rPr>
          <w:lang w:val="en-GB"/>
        </w:rPr>
        <w:t xml:space="preserve">might justify a </w:t>
      </w:r>
      <w:r w:rsidR="002868D7" w:rsidRPr="1DFC466C">
        <w:rPr>
          <w:lang w:val="en-GB"/>
        </w:rPr>
        <w:t>function</w:t>
      </w:r>
      <w:r w:rsidR="001F1FE5" w:rsidRPr="1DFC466C">
        <w:rPr>
          <w:lang w:val="en-GB"/>
        </w:rPr>
        <w:t xml:space="preserve"> for the modification factor</w:t>
      </w:r>
      <w:r w:rsidR="00127B33">
        <w:rPr>
          <w:lang w:val="en-GB"/>
        </w:rPr>
        <w:t xml:space="preserve"> </w:t>
      </w:r>
      <w:r w:rsidR="00796DE5">
        <w:rPr>
          <w:lang w:val="en-GB"/>
        </w:rPr>
        <w:t xml:space="preserve">that </w:t>
      </w:r>
      <w:r w:rsidR="00127B33">
        <w:rPr>
          <w:lang w:val="en-GB"/>
        </w:rPr>
        <w:t xml:space="preserve">more slowly </w:t>
      </w:r>
      <w:r w:rsidR="00796DE5">
        <w:rPr>
          <w:lang w:val="en-GB"/>
        </w:rPr>
        <w:t>reduces slope,</w:t>
      </w:r>
      <w:r w:rsidR="002868D7" w:rsidRPr="1DFC466C">
        <w:rPr>
          <w:lang w:val="en-GB"/>
        </w:rPr>
        <w:t xml:space="preserve"> whereas a shallow dose</w:t>
      </w:r>
      <w:r w:rsidR="001D4593" w:rsidRPr="1DFC466C">
        <w:rPr>
          <w:lang w:val="en-GB"/>
        </w:rPr>
        <w:t>-</w:t>
      </w:r>
      <w:r w:rsidR="002868D7" w:rsidRPr="1DFC466C">
        <w:rPr>
          <w:lang w:val="en-GB"/>
        </w:rPr>
        <w:t xml:space="preserve">response </w:t>
      </w:r>
      <w:r w:rsidR="001F1FE5" w:rsidRPr="1DFC466C">
        <w:rPr>
          <w:lang w:val="en-GB"/>
        </w:rPr>
        <w:t xml:space="preserve">for the key event </w:t>
      </w:r>
      <w:r w:rsidR="002868D7" w:rsidRPr="1DFC466C">
        <w:rPr>
          <w:lang w:val="en-GB"/>
        </w:rPr>
        <w:t>might justify a function</w:t>
      </w:r>
      <w:r w:rsidR="00796DE5">
        <w:rPr>
          <w:lang w:val="en-GB"/>
        </w:rPr>
        <w:t xml:space="preserve"> that more rapidly reduces slope</w:t>
      </w:r>
      <w:r w:rsidR="002868D7" w:rsidRPr="1DFC466C">
        <w:rPr>
          <w:lang w:val="en-GB"/>
        </w:rPr>
        <w:t>.</w:t>
      </w:r>
    </w:p>
    <w:p w14:paraId="45642B45" w14:textId="1870CE6D" w:rsidR="004653BE" w:rsidRDefault="004653BE" w:rsidP="001177B7">
      <w:pPr>
        <w:rPr>
          <w:lang w:val="en-GB"/>
        </w:rPr>
      </w:pPr>
      <w:r w:rsidRPr="4F9A8300">
        <w:rPr>
          <w:lang w:val="en-GB"/>
        </w:rPr>
        <w:t xml:space="preserve">As expected, there is a difference in risk estimates for exposures &lt;2 ppm between the </w:t>
      </w:r>
      <w:r w:rsidR="00AA6B7E" w:rsidRPr="4F9A8300">
        <w:rPr>
          <w:lang w:val="en-GB"/>
        </w:rPr>
        <w:t>LNT</w:t>
      </w:r>
      <w:r w:rsidRPr="4F9A8300">
        <w:rPr>
          <w:lang w:val="en-GB"/>
        </w:rPr>
        <w:t xml:space="preserve"> model compared with the CDS and SMS models at risk metrics used in some cancer risk assessments. The reduced risk estimates in the CDS and SM</w:t>
      </w:r>
      <w:r w:rsidR="007C0D52">
        <w:rPr>
          <w:lang w:val="en-GB"/>
        </w:rPr>
        <w:t>S models reflect an expectation</w:t>
      </w:r>
      <w:r w:rsidRPr="4F9A8300">
        <w:rPr>
          <w:lang w:val="en-GB"/>
        </w:rPr>
        <w:t xml:space="preserve"> by preventing early key events in the MOA </w:t>
      </w:r>
      <w:r w:rsidR="00DB76D3" w:rsidRPr="4F9A8300">
        <w:rPr>
          <w:lang w:val="en-GB"/>
        </w:rPr>
        <w:t>one</w:t>
      </w:r>
      <w:r w:rsidRPr="4F9A8300">
        <w:rPr>
          <w:lang w:val="en-GB"/>
        </w:rPr>
        <w:t xml:space="preserve"> reduce</w:t>
      </w:r>
      <w:r w:rsidR="00DB76D3" w:rsidRPr="4F9A8300">
        <w:rPr>
          <w:lang w:val="en-GB"/>
        </w:rPr>
        <w:t>s</w:t>
      </w:r>
      <w:r w:rsidRPr="4F9A8300">
        <w:rPr>
          <w:lang w:val="en-GB"/>
        </w:rPr>
        <w:t xml:space="preserve"> the risk of later adverse outcomes. </w:t>
      </w:r>
      <w:r w:rsidR="00DB76D3" w:rsidRPr="4F9A8300">
        <w:rPr>
          <w:lang w:val="en-GB"/>
        </w:rPr>
        <w:t xml:space="preserve">Some </w:t>
      </w:r>
      <w:r w:rsidR="000D533A">
        <w:rPr>
          <w:lang w:val="en-GB"/>
        </w:rPr>
        <w:t xml:space="preserve">may </w:t>
      </w:r>
      <w:r w:rsidR="00DB76D3" w:rsidRPr="4F9A8300">
        <w:rPr>
          <w:lang w:val="en-GB"/>
        </w:rPr>
        <w:t xml:space="preserve">find the </w:t>
      </w:r>
      <w:r w:rsidR="007C0D52">
        <w:rPr>
          <w:lang w:val="en-GB"/>
        </w:rPr>
        <w:t>rationale of AGS,</w:t>
      </w:r>
      <w:r w:rsidRPr="4F9A8300">
        <w:rPr>
          <w:lang w:val="en-GB"/>
        </w:rPr>
        <w:t xml:space="preserve"> exposures </w:t>
      </w:r>
      <w:r w:rsidR="00DB76D3" w:rsidRPr="4F9A8300">
        <w:rPr>
          <w:lang w:val="en-GB"/>
        </w:rPr>
        <w:t xml:space="preserve">equal or greater than </w:t>
      </w:r>
      <w:r w:rsidRPr="4F9A8300">
        <w:rPr>
          <w:lang w:val="en-GB"/>
        </w:rPr>
        <w:t xml:space="preserve">that causing hematotoxicity lead to an </w:t>
      </w:r>
      <w:r w:rsidR="00CA3B1E">
        <w:rPr>
          <w:lang w:val="en-GB"/>
        </w:rPr>
        <w:t>enhancement</w:t>
      </w:r>
      <w:r w:rsidR="00CA3B1E" w:rsidRPr="4F9A8300">
        <w:rPr>
          <w:lang w:val="en-GB"/>
        </w:rPr>
        <w:t xml:space="preserve"> </w:t>
      </w:r>
      <w:r w:rsidRPr="4F9A8300">
        <w:rPr>
          <w:lang w:val="en-GB"/>
        </w:rPr>
        <w:t>of the disease process, compelling.</w:t>
      </w:r>
      <w:r w:rsidR="00DB76D3" w:rsidRPr="4F9A8300">
        <w:rPr>
          <w:lang w:val="en-GB"/>
        </w:rPr>
        <w:t xml:space="preserve"> That </w:t>
      </w:r>
      <w:r w:rsidR="00CA3B1E">
        <w:rPr>
          <w:lang w:val="en-GB"/>
        </w:rPr>
        <w:t>enhancement</w:t>
      </w:r>
      <w:r w:rsidR="00CA3B1E" w:rsidRPr="4F9A8300">
        <w:rPr>
          <w:lang w:val="en-GB"/>
        </w:rPr>
        <w:t xml:space="preserve"> </w:t>
      </w:r>
      <w:r w:rsidR="00DB76D3" w:rsidRPr="4F9A8300">
        <w:rPr>
          <w:lang w:val="en-GB"/>
        </w:rPr>
        <w:t>eventually leads to observed increases in AML risk for benzene-exposed workers.</w:t>
      </w:r>
      <w:r w:rsidRPr="4F9A8300">
        <w:rPr>
          <w:lang w:val="en-GB"/>
        </w:rPr>
        <w:t xml:space="preserve"> </w:t>
      </w:r>
      <w:r w:rsidR="00DB76D3" w:rsidRPr="4F9A8300">
        <w:rPr>
          <w:lang w:val="en-GB"/>
        </w:rPr>
        <w:t xml:space="preserve">By that same rationale, exposures below the point of </w:t>
      </w:r>
      <w:r w:rsidR="00CA3B1E">
        <w:rPr>
          <w:lang w:val="en-GB"/>
        </w:rPr>
        <w:t>enhancement</w:t>
      </w:r>
      <w:r w:rsidR="00CA3B1E" w:rsidRPr="4F9A8300">
        <w:rPr>
          <w:lang w:val="en-GB"/>
        </w:rPr>
        <w:t xml:space="preserve"> </w:t>
      </w:r>
      <w:r w:rsidR="00DB76D3" w:rsidRPr="4F9A8300">
        <w:rPr>
          <w:lang w:val="en-GB"/>
        </w:rPr>
        <w:t xml:space="preserve">are expected to be lower risk. </w:t>
      </w:r>
      <w:r w:rsidR="00CA3B1E">
        <w:rPr>
          <w:lang w:val="en-GB"/>
        </w:rPr>
        <w:t>Above the LOAEC</w:t>
      </w:r>
      <w:r w:rsidR="00B0185E">
        <w:rPr>
          <w:lang w:val="en-GB"/>
        </w:rPr>
        <w:t xml:space="preserve"> for earlier key events</w:t>
      </w:r>
      <w:r w:rsidR="00CA3B1E">
        <w:rPr>
          <w:lang w:val="en-GB"/>
        </w:rPr>
        <w:t>, in regions were epidemiology observes cancer risk, the risk model relies on cancer risk.</w:t>
      </w:r>
      <w:r w:rsidR="00B0185E">
        <w:rPr>
          <w:lang w:val="en-GB"/>
        </w:rPr>
        <w:t xml:space="preserve"> Below the LOAEC for earlier key events, where cancer risk is not or cannot be observed, the risk model takes the assumption that a “damping” of risk </w:t>
      </w:r>
      <w:r w:rsidR="00A45DCD">
        <w:rPr>
          <w:lang w:val="en-GB"/>
        </w:rPr>
        <w:t xml:space="preserve">occurs </w:t>
      </w:r>
      <w:r w:rsidR="00B0185E">
        <w:rPr>
          <w:lang w:val="en-GB"/>
        </w:rPr>
        <w:t xml:space="preserve">until it is at background levels.  </w:t>
      </w:r>
      <w:r w:rsidR="00DB76D3" w:rsidRPr="4F9A8300">
        <w:rPr>
          <w:lang w:val="en-GB"/>
        </w:rPr>
        <w:t xml:space="preserve">The CDS and SMS models offer a flexible approach to defining how quickly risk estimates </w:t>
      </w:r>
      <w:r w:rsidR="00DB76D3">
        <w:rPr>
          <w:lang w:val="en-GB"/>
        </w:rPr>
        <w:t>chan</w:t>
      </w:r>
      <w:r w:rsidR="00B14D1E">
        <w:rPr>
          <w:lang w:val="en-GB"/>
        </w:rPr>
        <w:t>g</w:t>
      </w:r>
      <w:r w:rsidR="00CA3B1E">
        <w:rPr>
          <w:lang w:val="en-GB"/>
        </w:rPr>
        <w:t>e</w:t>
      </w:r>
      <w:r w:rsidR="00DB76D3" w:rsidRPr="4F9A8300">
        <w:rPr>
          <w:lang w:val="en-GB"/>
        </w:rPr>
        <w:t xml:space="preserve"> below the point of </w:t>
      </w:r>
      <w:r w:rsidR="00832F8A">
        <w:rPr>
          <w:lang w:val="en-GB"/>
        </w:rPr>
        <w:t>enhancement</w:t>
      </w:r>
      <w:r w:rsidR="00DB76D3" w:rsidRPr="4F9A8300">
        <w:rPr>
          <w:lang w:val="en-GB"/>
        </w:rPr>
        <w:t>.</w:t>
      </w:r>
    </w:p>
    <w:p w14:paraId="4371494B" w14:textId="71A436AE" w:rsidR="00587C3F" w:rsidRPr="005F4832" w:rsidRDefault="002868D7" w:rsidP="00587C3F">
      <w:pPr>
        <w:rPr>
          <w:lang w:val="en-GB"/>
        </w:rPr>
      </w:pPr>
      <w:r w:rsidRPr="1DFC466C">
        <w:rPr>
          <w:lang w:val="en-GB"/>
        </w:rPr>
        <w:t>Application of a</w:t>
      </w:r>
      <w:r w:rsidR="00B14D1E" w:rsidRPr="1DFC466C">
        <w:rPr>
          <w:lang w:val="en-GB"/>
        </w:rPr>
        <w:t>n</w:t>
      </w:r>
      <w:r w:rsidRPr="1DFC466C">
        <w:rPr>
          <w:lang w:val="en-GB"/>
        </w:rPr>
        <w:t xml:space="preserve"> </w:t>
      </w:r>
      <w:r w:rsidR="001F1FE5" w:rsidRPr="1DFC466C">
        <w:rPr>
          <w:lang w:val="en-GB"/>
        </w:rPr>
        <w:t>SMS</w:t>
      </w:r>
      <w:r w:rsidRPr="1DFC466C">
        <w:rPr>
          <w:lang w:val="en-GB"/>
        </w:rPr>
        <w:t xml:space="preserve"> model requires</w:t>
      </w:r>
      <w:r w:rsidR="00832F8A">
        <w:rPr>
          <w:lang w:val="en-GB"/>
        </w:rPr>
        <w:t xml:space="preserve"> </w:t>
      </w:r>
      <w:r w:rsidRPr="1DFC466C">
        <w:rPr>
          <w:lang w:val="en-GB"/>
        </w:rPr>
        <w:t>selection of t</w:t>
      </w:r>
      <w:r w:rsidR="001F1FE5" w:rsidRPr="1DFC466C">
        <w:rPr>
          <w:lang w:val="en-GB"/>
        </w:rPr>
        <w:t xml:space="preserve">he slope </w:t>
      </w:r>
      <w:r w:rsidR="00DB76D3" w:rsidRPr="1DFC466C">
        <w:rPr>
          <w:lang w:val="en-GB"/>
        </w:rPr>
        <w:t>modification</w:t>
      </w:r>
      <w:r w:rsidR="001F1FE5" w:rsidRPr="1DFC466C">
        <w:rPr>
          <w:lang w:val="en-GB"/>
        </w:rPr>
        <w:t xml:space="preserve"> factor over each</w:t>
      </w:r>
      <w:r w:rsidRPr="1DFC466C">
        <w:rPr>
          <w:lang w:val="en-GB"/>
        </w:rPr>
        <w:t xml:space="preserve"> segment. Without a clear rationale the most likely selection method would seem to be selecting the smallest </w:t>
      </w:r>
      <w:r w:rsidR="00DB76D3" w:rsidRPr="1DFC466C">
        <w:rPr>
          <w:lang w:val="en-GB"/>
        </w:rPr>
        <w:t>modification</w:t>
      </w:r>
      <w:r w:rsidRPr="1DFC466C">
        <w:rPr>
          <w:lang w:val="en-GB"/>
        </w:rPr>
        <w:t xml:space="preserve"> factor near the LOAEL, permitting the </w:t>
      </w:r>
      <w:r w:rsidR="00DB76D3" w:rsidRPr="1DFC466C">
        <w:rPr>
          <w:lang w:val="en-GB"/>
        </w:rPr>
        <w:t>modif</w:t>
      </w:r>
      <w:r w:rsidR="00E0299A" w:rsidRPr="1DFC466C">
        <w:rPr>
          <w:lang w:val="en-GB"/>
        </w:rPr>
        <w:t>i</w:t>
      </w:r>
      <w:r w:rsidR="00DB76D3" w:rsidRPr="1DFC466C">
        <w:rPr>
          <w:lang w:val="en-GB"/>
        </w:rPr>
        <w:t>cation</w:t>
      </w:r>
      <w:r w:rsidRPr="1DFC466C">
        <w:rPr>
          <w:lang w:val="en-GB"/>
        </w:rPr>
        <w:t xml:space="preserve"> factor to become larger as the response nears the NOAEL and OEL. As with the </w:t>
      </w:r>
      <w:r w:rsidR="001F1FE5" w:rsidRPr="1DFC466C">
        <w:rPr>
          <w:lang w:val="en-GB"/>
        </w:rPr>
        <w:t>CDS</w:t>
      </w:r>
      <w:r w:rsidRPr="1DFC466C">
        <w:rPr>
          <w:lang w:val="en-GB"/>
        </w:rPr>
        <w:t xml:space="preserve"> model, information about the dose response for the key event in the range between the NOAEL and LOAEL may provide a useful in justification of a </w:t>
      </w:r>
      <w:r w:rsidR="00DB76D3" w:rsidRPr="1DFC466C">
        <w:rPr>
          <w:lang w:val="en-GB"/>
        </w:rPr>
        <w:t>slope modification</w:t>
      </w:r>
      <w:r w:rsidRPr="1DFC466C">
        <w:rPr>
          <w:lang w:val="en-GB"/>
        </w:rPr>
        <w:t xml:space="preserve"> factor.</w:t>
      </w:r>
      <w:r w:rsidR="00587C3F" w:rsidRPr="1DFC466C">
        <w:rPr>
          <w:lang w:val="en-GB"/>
        </w:rPr>
        <w:t xml:space="preserve"> </w:t>
      </w:r>
      <w:r w:rsidR="005F4832">
        <w:rPr>
          <w:lang w:val="en-GB"/>
        </w:rPr>
        <w:t xml:space="preserve">Information in this context could come from a range of sources, including animal studies, </w:t>
      </w:r>
      <w:r w:rsidR="005F4832">
        <w:rPr>
          <w:i/>
          <w:lang w:val="en-GB"/>
        </w:rPr>
        <w:t>in vitro</w:t>
      </w:r>
      <w:r w:rsidR="005F4832">
        <w:rPr>
          <w:lang w:val="en-GB"/>
        </w:rPr>
        <w:t xml:space="preserve"> experiments, or even </w:t>
      </w:r>
      <w:r w:rsidR="005F4832">
        <w:rPr>
          <w:i/>
          <w:lang w:val="en-GB"/>
        </w:rPr>
        <w:t>in silico</w:t>
      </w:r>
      <w:r w:rsidR="005F4832">
        <w:rPr>
          <w:lang w:val="en-GB"/>
        </w:rPr>
        <w:t xml:space="preserve"> modelling. Undoubtedly the further the information source gets from the observed human data the more challenging it may be to incorporate</w:t>
      </w:r>
      <w:r w:rsidR="00A45DCD">
        <w:rPr>
          <w:lang w:val="en-GB"/>
        </w:rPr>
        <w:t>.</w:t>
      </w:r>
    </w:p>
    <w:p w14:paraId="693F99B5" w14:textId="62090CEE" w:rsidR="002868D7" w:rsidRDefault="00DB76D3" w:rsidP="001177B7">
      <w:pPr>
        <w:rPr>
          <w:lang w:val="en-GB"/>
        </w:rPr>
      </w:pPr>
      <w:r>
        <w:rPr>
          <w:lang w:val="en-GB"/>
        </w:rPr>
        <w:t xml:space="preserve">In the future, </w:t>
      </w:r>
      <w:r w:rsidR="00587C3F">
        <w:rPr>
          <w:lang w:val="en-GB"/>
        </w:rPr>
        <w:t xml:space="preserve">use </w:t>
      </w:r>
      <w:r>
        <w:rPr>
          <w:lang w:val="en-GB"/>
        </w:rPr>
        <w:t xml:space="preserve">of </w:t>
      </w:r>
      <w:r w:rsidR="00587C3F">
        <w:rPr>
          <w:lang w:val="en-GB"/>
        </w:rPr>
        <w:t xml:space="preserve">defined benchmark responses as </w:t>
      </w:r>
      <w:r w:rsidR="00A45DCD">
        <w:rPr>
          <w:lang w:val="en-GB"/>
        </w:rPr>
        <w:t xml:space="preserve">change points </w:t>
      </w:r>
      <w:r w:rsidR="00587C3F">
        <w:rPr>
          <w:lang w:val="en-GB"/>
        </w:rPr>
        <w:t xml:space="preserve">instead of </w:t>
      </w:r>
      <w:r w:rsidR="006D2C1C">
        <w:rPr>
          <w:lang w:val="en-GB"/>
        </w:rPr>
        <w:t>NOAECs</w:t>
      </w:r>
      <w:r w:rsidR="00587C3F">
        <w:rPr>
          <w:lang w:val="en-GB"/>
        </w:rPr>
        <w:t xml:space="preserve"> and </w:t>
      </w:r>
      <w:r w:rsidR="006D2C1C">
        <w:rPr>
          <w:lang w:val="en-GB"/>
        </w:rPr>
        <w:t>L</w:t>
      </w:r>
      <w:r w:rsidR="00587C3F">
        <w:rPr>
          <w:lang w:val="en-GB"/>
        </w:rPr>
        <w:t>OAECs</w:t>
      </w:r>
      <w:r>
        <w:rPr>
          <w:lang w:val="en-GB"/>
        </w:rPr>
        <w:t xml:space="preserve"> may be an improvement</w:t>
      </w:r>
      <w:r w:rsidR="00587C3F">
        <w:rPr>
          <w:lang w:val="en-GB"/>
        </w:rPr>
        <w:t xml:space="preserve">. </w:t>
      </w:r>
      <w:r w:rsidR="006D2C1C">
        <w:rPr>
          <w:lang w:val="en-GB"/>
        </w:rPr>
        <w:t>Benchmark dose modelling has significant technical advantages over a NOAEC/LOAEC</w:t>
      </w:r>
      <w:r w:rsidR="00587C3F">
        <w:rPr>
          <w:lang w:val="en-GB"/>
        </w:rPr>
        <w:t xml:space="preserve"> </w:t>
      </w:r>
      <w:r w:rsidR="006D2C1C">
        <w:rPr>
          <w:lang w:val="en-GB"/>
        </w:rPr>
        <w:t xml:space="preserve">approach, but can be challenging to apply to some datasets. The AGS analysis used </w:t>
      </w:r>
      <w:r w:rsidR="0052048E">
        <w:rPr>
          <w:lang w:val="en-GB"/>
        </w:rPr>
        <w:t>such an approach</w:t>
      </w:r>
      <w:r w:rsidR="00E0299A">
        <w:rPr>
          <w:lang w:val="en-GB"/>
        </w:rPr>
        <w:t xml:space="preserve"> which</w:t>
      </w:r>
      <w:r w:rsidR="00F75698">
        <w:rPr>
          <w:lang w:val="en-GB"/>
        </w:rPr>
        <w:t xml:space="preserve"> </w:t>
      </w:r>
      <w:r w:rsidR="0052048E">
        <w:rPr>
          <w:lang w:val="en-GB"/>
        </w:rPr>
        <w:t>could have been expanded to include more than a single benchmark response</w:t>
      </w:r>
      <w:r>
        <w:rPr>
          <w:lang w:val="en-GB"/>
        </w:rPr>
        <w:t>. For example, the modeller could</w:t>
      </w:r>
      <w:r w:rsidR="0052048E">
        <w:rPr>
          <w:lang w:val="en-GB"/>
        </w:rPr>
        <w:t xml:space="preserve"> use non-adverse, small adverse, and moderate adverse response as additional </w:t>
      </w:r>
      <w:r w:rsidR="00A45DCD">
        <w:rPr>
          <w:lang w:val="en-GB"/>
        </w:rPr>
        <w:t xml:space="preserve">change points </w:t>
      </w:r>
      <w:r w:rsidR="0052048E">
        <w:rPr>
          <w:lang w:val="en-GB"/>
        </w:rPr>
        <w:t>in a risk model.</w:t>
      </w:r>
      <w:r>
        <w:rPr>
          <w:lang w:val="en-GB"/>
        </w:rPr>
        <w:t xml:space="preserve"> In this regard, the </w:t>
      </w:r>
      <w:r w:rsidR="00D226A2">
        <w:rPr>
          <w:lang w:val="en-GB"/>
        </w:rPr>
        <w:t>general theory of e</w:t>
      </w:r>
      <w:r>
        <w:rPr>
          <w:lang w:val="en-GB"/>
        </w:rPr>
        <w:t xml:space="preserve">ffect </w:t>
      </w:r>
      <w:r w:rsidR="00D226A2">
        <w:rPr>
          <w:lang w:val="en-GB"/>
        </w:rPr>
        <w:t>s</w:t>
      </w:r>
      <w:r>
        <w:rPr>
          <w:lang w:val="en-GB"/>
        </w:rPr>
        <w:t xml:space="preserve">ize </w:t>
      </w:r>
      <w:r w:rsidR="00D226A2">
        <w:rPr>
          <w:lang w:val="en-GB"/>
        </w:rPr>
        <w:t>may be a useful guide to defining a small, medium, or large effect size for benchmark dose model</w:t>
      </w:r>
      <w:r w:rsidR="00E0299A">
        <w:rPr>
          <w:lang w:val="en-GB"/>
        </w:rPr>
        <w:t>l</w:t>
      </w:r>
      <w:r w:rsidR="00D226A2">
        <w:rPr>
          <w:lang w:val="en-GB"/>
        </w:rPr>
        <w:t xml:space="preserve">ing </w:t>
      </w:r>
      <w:r w:rsidR="002D2F9E">
        <w:rPr>
          <w:lang w:val="en-GB"/>
        </w:rPr>
        <w:fldChar w:fldCharType="begin"/>
      </w:r>
      <w:r w:rsidR="002D2F9E">
        <w:rPr>
          <w:lang w:val="en-GB"/>
        </w:rPr>
        <w:instrText xml:space="preserve"> ADDIN EN.CITE &lt;EndNote&gt;&lt;Cite&gt;&lt;Author&gt;Slob&lt;/Author&gt;&lt;Year&gt;2017&lt;/Year&gt;&lt;RecNum&gt;726&lt;/RecNum&gt;&lt;DisplayText&gt;(Slob, 2017)&lt;/DisplayText&gt;&lt;record&gt;&lt;rec-number&gt;726&lt;/rec-number&gt;&lt;foreign-keys&gt;&lt;key app="EN" db-id="0d0929f959rse9ex25rp09za5avf0ept9spf" timestamp="1505762884"&gt;726&lt;/key&gt;&lt;/foreign-keys&gt;&lt;ref-type name="Journal Article"&gt;17&lt;/ref-type&gt;&lt;contributors&gt;&lt;authors&gt;&lt;author&gt;Slob, Wout&lt;/author&gt;&lt;/authors&gt;&lt;/contributors&gt;&lt;titles&gt;&lt;title&gt;A general theory of effect size, and its consequences for defining the benchmark response (BMR) for continuous endpoints&lt;/title&gt;&lt;secondary-title&gt;Critical Reviews in Toxicology&lt;/secondary-title&gt;&lt;/titles&gt;&lt;periodical&gt;&lt;full-title&gt;Crit Rev Toxicol&lt;/full-title&gt;&lt;abbr-1&gt;Critical reviews in toxicology&lt;/abbr-1&gt;&lt;/periodical&gt;&lt;pages&gt;342-351&lt;/pages&gt;&lt;volume&gt;47&lt;/volume&gt;&lt;number&gt;4&lt;/number&gt;&lt;dates&gt;&lt;year&gt;2017&lt;/year&gt;&lt;pub-dates&gt;&lt;date&gt;2017/04/21&lt;/date&gt;&lt;/pub-dates&gt;&lt;/dates&gt;&lt;publisher&gt;Taylor &amp;amp; Francis&lt;/publisher&gt;&lt;isbn&gt;1040-8444&lt;/isbn&gt;&lt;urls&gt;&lt;related-urls&gt;&lt;url&gt;http://dx.doi.org/10.1080/10408444.2016.1241756&lt;/url&gt;&lt;/related-urls&gt;&lt;/urls&gt;&lt;electronic-resource-num&gt;10.1080/10408444.2016.1241756&lt;/electronic-resource-num&gt;&lt;/record&gt;&lt;/Cite&gt;&lt;/EndNote&gt;</w:instrText>
      </w:r>
      <w:r w:rsidR="002D2F9E">
        <w:rPr>
          <w:lang w:val="en-GB"/>
        </w:rPr>
        <w:fldChar w:fldCharType="separate"/>
      </w:r>
      <w:r w:rsidR="002D2F9E">
        <w:rPr>
          <w:noProof/>
          <w:lang w:val="en-GB"/>
        </w:rPr>
        <w:t>(</w:t>
      </w:r>
      <w:hyperlink w:anchor="_ENREF_36" w:tooltip="Slob, 2017 #726" w:history="1">
        <w:r w:rsidR="004C59A6">
          <w:rPr>
            <w:noProof/>
            <w:lang w:val="en-GB"/>
          </w:rPr>
          <w:t>Slob, 2017</w:t>
        </w:r>
      </w:hyperlink>
      <w:r w:rsidR="002D2F9E">
        <w:rPr>
          <w:noProof/>
          <w:lang w:val="en-GB"/>
        </w:rPr>
        <w:t>)</w:t>
      </w:r>
      <w:r w:rsidR="002D2F9E">
        <w:rPr>
          <w:lang w:val="en-GB"/>
        </w:rPr>
        <w:fldChar w:fldCharType="end"/>
      </w:r>
      <w:r w:rsidR="00D226A2">
        <w:rPr>
          <w:lang w:val="en-GB"/>
        </w:rPr>
        <w:t>.</w:t>
      </w:r>
    </w:p>
    <w:p w14:paraId="034C495F" w14:textId="7301529F" w:rsidR="002868D7" w:rsidRDefault="002868D7" w:rsidP="001177B7">
      <w:pPr>
        <w:rPr>
          <w:lang w:val="en-GB"/>
        </w:rPr>
      </w:pPr>
      <w:r>
        <w:rPr>
          <w:lang w:val="en-GB"/>
        </w:rPr>
        <w:t>Looking to the future, as modellers increasing</w:t>
      </w:r>
      <w:r w:rsidR="00E50DB3">
        <w:rPr>
          <w:lang w:val="en-GB"/>
        </w:rPr>
        <w:t>ly</w:t>
      </w:r>
      <w:r>
        <w:rPr>
          <w:lang w:val="en-GB"/>
        </w:rPr>
        <w:t xml:space="preserve"> look to integrate </w:t>
      </w:r>
      <w:r>
        <w:rPr>
          <w:i/>
          <w:lang w:val="en-GB"/>
        </w:rPr>
        <w:t>in vitro</w:t>
      </w:r>
      <w:r>
        <w:rPr>
          <w:lang w:val="en-GB"/>
        </w:rPr>
        <w:t xml:space="preserve"> and </w:t>
      </w:r>
      <w:r>
        <w:rPr>
          <w:i/>
          <w:lang w:val="en-GB"/>
        </w:rPr>
        <w:t>in silico</w:t>
      </w:r>
      <w:r>
        <w:rPr>
          <w:lang w:val="en-GB"/>
        </w:rPr>
        <w:t xml:space="preserve"> results to predict whole organism responses</w:t>
      </w:r>
      <w:r w:rsidR="00A45DCD">
        <w:rPr>
          <w:lang w:val="en-GB"/>
        </w:rPr>
        <w:t>,</w:t>
      </w:r>
      <w:r>
        <w:rPr>
          <w:lang w:val="en-GB"/>
        </w:rPr>
        <w:t xml:space="preserve"> the need for informed approaches to dose</w:t>
      </w:r>
      <w:r w:rsidR="004D4603">
        <w:rPr>
          <w:lang w:val="en-GB"/>
        </w:rPr>
        <w:t>-</w:t>
      </w:r>
      <w:r>
        <w:rPr>
          <w:lang w:val="en-GB"/>
        </w:rPr>
        <w:t xml:space="preserve">response modelling may move beyond simply empirical curve fitting. While the models described above are informed by key events observed </w:t>
      </w:r>
      <w:r>
        <w:rPr>
          <w:i/>
          <w:lang w:val="en-GB"/>
        </w:rPr>
        <w:t>in vivo</w:t>
      </w:r>
      <w:r>
        <w:rPr>
          <w:lang w:val="en-GB"/>
        </w:rPr>
        <w:t>, a future model could consider combining dose</w:t>
      </w:r>
      <w:r w:rsidR="004D4603">
        <w:rPr>
          <w:lang w:val="en-GB"/>
        </w:rPr>
        <w:t>-</w:t>
      </w:r>
      <w:r>
        <w:rPr>
          <w:lang w:val="en-GB"/>
        </w:rPr>
        <w:t xml:space="preserve">response information from </w:t>
      </w:r>
      <w:r>
        <w:rPr>
          <w:i/>
          <w:lang w:val="en-GB"/>
        </w:rPr>
        <w:t>in vitro</w:t>
      </w:r>
      <w:r>
        <w:rPr>
          <w:lang w:val="en-GB"/>
        </w:rPr>
        <w:t xml:space="preserve"> genetic damage or hema</w:t>
      </w:r>
      <w:r w:rsidR="004D4603">
        <w:rPr>
          <w:lang w:val="en-GB"/>
        </w:rPr>
        <w:t>to</w:t>
      </w:r>
      <w:r>
        <w:rPr>
          <w:lang w:val="en-GB"/>
        </w:rPr>
        <w:t xml:space="preserve">toxicity responses in </w:t>
      </w:r>
      <w:r>
        <w:rPr>
          <w:i/>
          <w:lang w:val="en-GB"/>
        </w:rPr>
        <w:t>ex vivo</w:t>
      </w:r>
      <w:r>
        <w:rPr>
          <w:lang w:val="en-GB"/>
        </w:rPr>
        <w:t xml:space="preserve"> bone marrow cultures with physiologically-based pharmacokinetic models to synthesize a prediction for the LOAEL, NOAEL, or BMD of a response. In turn, these derived key event points could inform </w:t>
      </w:r>
      <w:r w:rsidR="00A45DCD">
        <w:rPr>
          <w:lang w:val="en-GB"/>
        </w:rPr>
        <w:t xml:space="preserve">change point </w:t>
      </w:r>
      <w:r>
        <w:rPr>
          <w:lang w:val="en-GB"/>
        </w:rPr>
        <w:t xml:space="preserve">selection or slope modification factors </w:t>
      </w:r>
      <w:r w:rsidR="00A45DCD">
        <w:rPr>
          <w:lang w:val="en-GB"/>
        </w:rPr>
        <w:t xml:space="preserve">applied </w:t>
      </w:r>
      <w:r>
        <w:rPr>
          <w:lang w:val="en-GB"/>
        </w:rPr>
        <w:t xml:space="preserve">to high dose </w:t>
      </w:r>
      <w:r>
        <w:rPr>
          <w:i/>
          <w:lang w:val="en-GB"/>
        </w:rPr>
        <w:t>in vivo</w:t>
      </w:r>
      <w:r>
        <w:rPr>
          <w:lang w:val="en-GB"/>
        </w:rPr>
        <w:t xml:space="preserve"> response models.</w:t>
      </w:r>
    </w:p>
    <w:p w14:paraId="0AFC2B05" w14:textId="29B7EA9E" w:rsidR="002868D7" w:rsidRDefault="002868D7" w:rsidP="001177B7">
      <w:pPr>
        <w:rPr>
          <w:lang w:val="en-GB"/>
        </w:rPr>
      </w:pPr>
      <w:r>
        <w:rPr>
          <w:lang w:val="en-GB"/>
        </w:rPr>
        <w:t>In closing, we illustrate the use of key events to modify dose</w:t>
      </w:r>
      <w:r w:rsidR="00477453">
        <w:rPr>
          <w:lang w:val="en-GB"/>
        </w:rPr>
        <w:t>-</w:t>
      </w:r>
      <w:r>
        <w:rPr>
          <w:lang w:val="en-GB"/>
        </w:rPr>
        <w:t xml:space="preserve">response models used in risk assessment with the aim of </w:t>
      </w:r>
      <w:r w:rsidR="0052048E">
        <w:rPr>
          <w:lang w:val="en-GB"/>
        </w:rPr>
        <w:t>refining</w:t>
      </w:r>
      <w:r>
        <w:rPr>
          <w:lang w:val="en-GB"/>
        </w:rPr>
        <w:t xml:space="preserve"> </w:t>
      </w:r>
      <w:r w:rsidR="0052048E">
        <w:rPr>
          <w:lang w:val="en-GB"/>
        </w:rPr>
        <w:t xml:space="preserve">risk estimates </w:t>
      </w:r>
      <w:r>
        <w:rPr>
          <w:lang w:val="en-GB"/>
        </w:rPr>
        <w:t>in the low</w:t>
      </w:r>
      <w:r w:rsidR="00A45DCD">
        <w:rPr>
          <w:lang w:val="en-GB"/>
        </w:rPr>
        <w:t xml:space="preserve">er </w:t>
      </w:r>
      <w:r>
        <w:rPr>
          <w:lang w:val="en-GB"/>
        </w:rPr>
        <w:t>range of the dose</w:t>
      </w:r>
      <w:r w:rsidR="00C9545F">
        <w:rPr>
          <w:lang w:val="en-GB"/>
        </w:rPr>
        <w:t>-</w:t>
      </w:r>
      <w:r>
        <w:rPr>
          <w:lang w:val="en-GB"/>
        </w:rPr>
        <w:t>response model. Such models may prove useful in future risk assessment.</w:t>
      </w:r>
    </w:p>
    <w:p w14:paraId="00153ACA" w14:textId="6EA15608" w:rsidR="008633D4" w:rsidRPr="008633D4" w:rsidRDefault="008633D4" w:rsidP="008633D4">
      <w:pPr>
        <w:rPr>
          <w:lang w:val="en-GB"/>
        </w:rPr>
      </w:pPr>
      <w:bookmarkStart w:id="21" w:name="_Toc40806599"/>
      <w:bookmarkEnd w:id="21"/>
      <w:r w:rsidRPr="008633D4">
        <w:rPr>
          <w:lang w:val="en-GB"/>
        </w:rPr>
        <w:t xml:space="preserve">  </w:t>
      </w:r>
    </w:p>
    <w:p w14:paraId="497CFB0C" w14:textId="77777777" w:rsidR="008633D4" w:rsidRPr="0025641A" w:rsidRDefault="008633D4" w:rsidP="008633D4">
      <w:pPr>
        <w:pStyle w:val="Heading2"/>
        <w:spacing w:line="480" w:lineRule="auto"/>
        <w:rPr>
          <w:caps/>
        </w:rPr>
      </w:pPr>
      <w:bookmarkStart w:id="22" w:name="_Toc40806600"/>
      <w:r w:rsidRPr="0025641A">
        <w:rPr>
          <w:caps/>
        </w:rPr>
        <w:t>Funding</w:t>
      </w:r>
      <w:bookmarkEnd w:id="22"/>
      <w:r w:rsidRPr="0025641A">
        <w:rPr>
          <w:caps/>
        </w:rPr>
        <w:t xml:space="preserve"> </w:t>
      </w:r>
    </w:p>
    <w:p w14:paraId="5AB7E6E2" w14:textId="77777777" w:rsidR="008633D4" w:rsidRPr="00484DEA" w:rsidRDefault="008633D4" w:rsidP="008633D4">
      <w:pPr>
        <w:rPr>
          <w:rFonts w:cstheme="minorHAnsi"/>
          <w:b/>
        </w:rPr>
      </w:pPr>
      <w:r w:rsidRPr="00F13A9C">
        <w:t xml:space="preserve">This research did not receive any specific grant from funding agencies in the public, commercial, or not-for-profit sectors. </w:t>
      </w:r>
      <w:bookmarkStart w:id="23" w:name="_Hlk24964991"/>
      <w:r w:rsidRPr="00F13A9C">
        <w:t xml:space="preserve">The </w:t>
      </w:r>
      <w:r>
        <w:t>LOA</w:t>
      </w:r>
      <w:r w:rsidRPr="00F13A9C">
        <w:t xml:space="preserve"> </w:t>
      </w:r>
      <w:bookmarkEnd w:id="23"/>
      <w:r w:rsidRPr="00F13A9C">
        <w:t xml:space="preserve">REACH Consortia provided financial support for Penman Consulting staff </w:t>
      </w:r>
      <w:r>
        <w:t xml:space="preserve">and consultant </w:t>
      </w:r>
      <w:r w:rsidRPr="00F13A9C">
        <w:t xml:space="preserve">participation, and the employers of the </w:t>
      </w:r>
      <w:r>
        <w:t xml:space="preserve">other </w:t>
      </w:r>
      <w:r w:rsidRPr="00F13A9C">
        <w:t>authors provided salary and travel support in the normal course of their work.</w:t>
      </w:r>
      <w:r>
        <w:t xml:space="preserve">  </w:t>
      </w:r>
    </w:p>
    <w:p w14:paraId="49533F76" w14:textId="77777777" w:rsidR="007C0D52" w:rsidRPr="008633D4" w:rsidRDefault="007C0D52" w:rsidP="001177B7"/>
    <w:p w14:paraId="6EAE737F" w14:textId="2658B303" w:rsidR="001177B7" w:rsidRPr="00CD48FA" w:rsidRDefault="001177B7" w:rsidP="001177B7">
      <w:pPr>
        <w:pStyle w:val="Heading1"/>
        <w:rPr>
          <w:lang w:val="en-GB"/>
        </w:rPr>
      </w:pPr>
      <w:r w:rsidRPr="00CD48FA">
        <w:rPr>
          <w:lang w:val="en-GB"/>
        </w:rPr>
        <w:t>References</w:t>
      </w:r>
    </w:p>
    <w:p w14:paraId="32A08CA1" w14:textId="77777777" w:rsidR="004C59A6" w:rsidRPr="004C59A6" w:rsidRDefault="004653BE" w:rsidP="004C59A6">
      <w:pPr>
        <w:pStyle w:val="EndNoteBibliography"/>
        <w:spacing w:after="0"/>
      </w:pPr>
      <w:r>
        <w:rPr>
          <w:lang w:val="en-GB"/>
        </w:rPr>
        <w:fldChar w:fldCharType="begin"/>
      </w:r>
      <w:r>
        <w:rPr>
          <w:lang w:val="en-GB"/>
        </w:rPr>
        <w:instrText xml:space="preserve"> ADDIN EN.REFLIST </w:instrText>
      </w:r>
      <w:r>
        <w:rPr>
          <w:lang w:val="en-GB"/>
        </w:rPr>
        <w:fldChar w:fldCharType="separate"/>
      </w:r>
      <w:bookmarkStart w:id="24" w:name="_ENREF_1"/>
      <w:r w:rsidR="004C59A6" w:rsidRPr="004C59A6">
        <w:t>Advisory Committee on Safety and Health at Work, 2019. Opinion on an EU Binding Occupational Exposure Limit Value (BOEL) for Benzene under the Carcinogens and Mutagens Directive 2004/37/EC.</w:t>
      </w:r>
      <w:bookmarkEnd w:id="24"/>
    </w:p>
    <w:p w14:paraId="14164061" w14:textId="77777777" w:rsidR="004C59A6" w:rsidRPr="004C59A6" w:rsidRDefault="004C59A6" w:rsidP="004C59A6">
      <w:pPr>
        <w:pStyle w:val="EndNoteBibliography"/>
        <w:spacing w:after="0"/>
      </w:pPr>
      <w:bookmarkStart w:id="25" w:name="_ENREF_2"/>
      <w:r w:rsidRPr="004C59A6">
        <w:t>Agency for Toxic Substances and Disease Registry, 2007. Toxicological Profile for Benzene.</w:t>
      </w:r>
      <w:bookmarkEnd w:id="25"/>
    </w:p>
    <w:p w14:paraId="733FB80B" w14:textId="77777777" w:rsidR="004C59A6" w:rsidRPr="004C59A6" w:rsidRDefault="004C59A6" w:rsidP="004C59A6">
      <w:pPr>
        <w:pStyle w:val="EndNoteBibliography"/>
        <w:spacing w:after="0"/>
        <w:rPr>
          <w:lang w:val="de-DE"/>
        </w:rPr>
      </w:pPr>
      <w:bookmarkStart w:id="26" w:name="_ENREF_3"/>
      <w:r w:rsidRPr="004C59A6">
        <w:t xml:space="preserve">AGS, 2012. </w:t>
      </w:r>
      <w:r w:rsidRPr="004C59A6">
        <w:rPr>
          <w:lang w:val="de-DE"/>
        </w:rPr>
        <w:t>Begründung zu Benzol in BekGS.</w:t>
      </w:r>
      <w:bookmarkEnd w:id="26"/>
    </w:p>
    <w:p w14:paraId="6B9F7FA2" w14:textId="4EE2D29A" w:rsidR="004C59A6" w:rsidRPr="004C59A6" w:rsidRDefault="004C59A6" w:rsidP="004C59A6">
      <w:pPr>
        <w:pStyle w:val="EndNoteBibliography"/>
        <w:spacing w:after="0"/>
      </w:pPr>
      <w:bookmarkStart w:id="27" w:name="_ENREF_4"/>
      <w:r w:rsidRPr="004C59A6">
        <w:t xml:space="preserve">American Cancer Society, 2020. Key Statistics for Acute Myeloid </w:t>
      </w:r>
      <w:r w:rsidR="00242AF3">
        <w:t>Leukaemia</w:t>
      </w:r>
      <w:r w:rsidRPr="004C59A6">
        <w:t xml:space="preserve"> (AML). vol. 2020.</w:t>
      </w:r>
      <w:bookmarkEnd w:id="27"/>
    </w:p>
    <w:p w14:paraId="166595B5" w14:textId="77777777" w:rsidR="004C59A6" w:rsidRPr="004C59A6" w:rsidRDefault="004C59A6" w:rsidP="004C59A6">
      <w:pPr>
        <w:pStyle w:val="EndNoteBibliography"/>
        <w:spacing w:after="0"/>
      </w:pPr>
      <w:bookmarkStart w:id="28" w:name="_ENREF_5"/>
      <w:r w:rsidRPr="004C59A6">
        <w:t>Bloemen, L.J., Youk, A., Bradley, T.D., Bodner, K.M., Marsh, G., 2004. Lymphohaematopoietic cancer risk among chemical workers exposed to benzene. Occupational and Environmental Medicine 61, 270-274.</w:t>
      </w:r>
      <w:bookmarkEnd w:id="28"/>
    </w:p>
    <w:p w14:paraId="40370751" w14:textId="77777777" w:rsidR="004C59A6" w:rsidRPr="004C59A6" w:rsidRDefault="004C59A6" w:rsidP="004C59A6">
      <w:pPr>
        <w:pStyle w:val="EndNoteBibliography"/>
        <w:spacing w:after="0"/>
      </w:pPr>
      <w:bookmarkStart w:id="29" w:name="_ENREF_6"/>
      <w:r w:rsidRPr="004C59A6">
        <w:t>Calabrese, E., Golden, R., 2019. Assessing the Scientific Basis of the Linear No Threshold (LNT) Model with Threshold Models for Cancer Risk Assessment of Radiation and Chemicals.</w:t>
      </w:r>
      <w:bookmarkEnd w:id="29"/>
    </w:p>
    <w:p w14:paraId="57011212" w14:textId="77777777" w:rsidR="004C59A6" w:rsidRPr="004C59A6" w:rsidRDefault="004C59A6" w:rsidP="004C59A6">
      <w:pPr>
        <w:pStyle w:val="EndNoteBibliography"/>
        <w:spacing w:after="0"/>
      </w:pPr>
      <w:bookmarkStart w:id="30" w:name="_ENREF_7"/>
      <w:r w:rsidRPr="004C59A6">
        <w:t>Cody, R.P., Strawderman, W.W., Kipen, H.M., 1993. Hematologic Effects of Benzene: Job-Specific Trends during the First Year of Employment among a Cohort of Benzene-Exposed Rubber Workers. Journal of Occupational and Environmental Medicine 35, 776-782.</w:t>
      </w:r>
      <w:bookmarkEnd w:id="30"/>
    </w:p>
    <w:p w14:paraId="4A5EEE3B" w14:textId="77777777" w:rsidR="004C59A6" w:rsidRPr="004C59A6" w:rsidRDefault="004C59A6" w:rsidP="004C59A6">
      <w:pPr>
        <w:pStyle w:val="EndNoteBibliography"/>
        <w:spacing w:after="0"/>
      </w:pPr>
      <w:bookmarkStart w:id="31" w:name="_ENREF_8"/>
      <w:r w:rsidRPr="004C59A6">
        <w:t>Collins, J., Ireland, B., Buckley, C., Shepperly, D., 2003. Lymphohaematopoeitic cancer mortality among workers with benzene exposure. Occupational and environmental medicine 60, 676-679.</w:t>
      </w:r>
      <w:bookmarkEnd w:id="31"/>
    </w:p>
    <w:p w14:paraId="6AAC3AA8" w14:textId="77777777" w:rsidR="004C59A6" w:rsidRPr="004C59A6" w:rsidRDefault="004C59A6" w:rsidP="004C59A6">
      <w:pPr>
        <w:pStyle w:val="EndNoteBibliography"/>
        <w:spacing w:after="0"/>
      </w:pPr>
      <w:bookmarkStart w:id="32" w:name="_ENREF_9"/>
      <w:r w:rsidRPr="004C59A6">
        <w:t>Collins, J.J., Anteau, S.E., Swaen, G.M., Bodner, K.M., Bodnar, C.M., 2015. Lymphatic and hematopoietic cancers among benzene-exposed workers. Journal of occupational and environmental medicine 57, 159-163.</w:t>
      </w:r>
      <w:bookmarkEnd w:id="32"/>
    </w:p>
    <w:p w14:paraId="3B19DB10" w14:textId="77777777" w:rsidR="004C59A6" w:rsidRPr="004C59A6" w:rsidRDefault="004C59A6" w:rsidP="004C59A6">
      <w:pPr>
        <w:pStyle w:val="EndNoteBibliography"/>
        <w:spacing w:after="0"/>
      </w:pPr>
      <w:bookmarkStart w:id="33" w:name="_ENREF_10"/>
      <w:r w:rsidRPr="004C59A6">
        <w:t>Committee for Risk Assessment, 2018. Opinion on scientific evaluation of occupational exposure limits for Benzene. European Chemicals Agency.</w:t>
      </w:r>
      <w:bookmarkEnd w:id="33"/>
    </w:p>
    <w:p w14:paraId="0EB697DB" w14:textId="77777777" w:rsidR="004C59A6" w:rsidRPr="004C59A6" w:rsidRDefault="004C59A6" w:rsidP="004C59A6">
      <w:pPr>
        <w:pStyle w:val="EndNoteBibliography"/>
        <w:spacing w:after="0"/>
      </w:pPr>
      <w:bookmarkStart w:id="34" w:name="_ENREF_11"/>
      <w:r w:rsidRPr="004C59A6">
        <w:t>Copley, G.B., Schnatter, A.R., Armstrong, T.W., Irons, R.D., Chen, M., Wang, X.Q., Kerzic, P., 2017. Hospital-Based Case-Control Study of MDS Subtypes and Benzene Exposure in Shanghai. J Occup Environ Med.</w:t>
      </w:r>
      <w:bookmarkEnd w:id="34"/>
    </w:p>
    <w:p w14:paraId="3FA31126" w14:textId="5EFCF1E6" w:rsidR="004C59A6" w:rsidRPr="004C59A6" w:rsidRDefault="004C59A6" w:rsidP="004C59A6">
      <w:pPr>
        <w:pStyle w:val="EndNoteBibliography"/>
        <w:spacing w:after="0"/>
      </w:pPr>
      <w:bookmarkStart w:id="35" w:name="_ENREF_12"/>
      <w:r w:rsidRPr="004C59A6">
        <w:t xml:space="preserve">Crump, K.S., 1994. Risk of benzene‐induced </w:t>
      </w:r>
      <w:r w:rsidR="00242AF3">
        <w:t>leukaemia</w:t>
      </w:r>
      <w:r w:rsidRPr="004C59A6">
        <w:t>: A sensitivity analysis of the pliofilm cohort with additional follow‐up and new exposure estimates. Journal of Toxicology and Environmental Health, Part A Current Issues 42, 219-242.</w:t>
      </w:r>
      <w:bookmarkEnd w:id="35"/>
    </w:p>
    <w:p w14:paraId="3869F356" w14:textId="77777777" w:rsidR="004C59A6" w:rsidRPr="004C59A6" w:rsidRDefault="004C59A6" w:rsidP="004C59A6">
      <w:pPr>
        <w:pStyle w:val="EndNoteBibliography"/>
        <w:spacing w:after="0"/>
      </w:pPr>
      <w:bookmarkStart w:id="36" w:name="_ENREF_13"/>
      <w:r w:rsidRPr="004C59A6">
        <w:t>Dutch Expert Committee on Occupational Safety, 2014. Benzene - Health-based recommended occupational exposure limit. Health Council of the Netherlands,.</w:t>
      </w:r>
      <w:bookmarkEnd w:id="36"/>
    </w:p>
    <w:p w14:paraId="528668D6" w14:textId="77777777" w:rsidR="004C59A6" w:rsidRPr="004C59A6" w:rsidRDefault="004C59A6" w:rsidP="004C59A6">
      <w:pPr>
        <w:pStyle w:val="EndNoteBibliography"/>
        <w:spacing w:after="0"/>
      </w:pPr>
      <w:bookmarkStart w:id="37" w:name="_ENREF_14"/>
      <w:r w:rsidRPr="004C59A6">
        <w:t>Glass, D.C., Gray, C.N., Jolley, D.J., Gibbons, C., Sim, M.R., 2005. Health Watch exposure estimates: Do they underestimate benzene exposure? Chemico-biological interactions 153-154, 23-32.</w:t>
      </w:r>
      <w:bookmarkEnd w:id="37"/>
    </w:p>
    <w:p w14:paraId="0C76893D" w14:textId="23B31089" w:rsidR="004C59A6" w:rsidRPr="004C59A6" w:rsidRDefault="004C59A6" w:rsidP="004C59A6">
      <w:pPr>
        <w:pStyle w:val="EndNoteBibliography"/>
        <w:spacing w:after="0"/>
      </w:pPr>
      <w:bookmarkStart w:id="38" w:name="_ENREF_15"/>
      <w:r w:rsidRPr="004C59A6">
        <w:t xml:space="preserve">Glass, D.C., Gray, C.N., Jolley, D.J., Gibbons, C., Sim, M.R., Fritschi, L., Adams, G.G., Bisby, J.A., Manuell, R., 2003. </w:t>
      </w:r>
      <w:r w:rsidR="00242AF3">
        <w:t>Leukaemia</w:t>
      </w:r>
      <w:r w:rsidRPr="004C59A6">
        <w:t xml:space="preserve"> Risk Associated With Low-Level Benzene Exposure. Epidemiology 14, 569-577.</w:t>
      </w:r>
      <w:bookmarkEnd w:id="38"/>
    </w:p>
    <w:p w14:paraId="594E73AD" w14:textId="140F4AFC" w:rsidR="004C59A6" w:rsidRPr="004C59A6" w:rsidRDefault="004C59A6" w:rsidP="004C59A6">
      <w:pPr>
        <w:pStyle w:val="EndNoteBibliography"/>
        <w:spacing w:after="0"/>
      </w:pPr>
      <w:bookmarkStart w:id="39" w:name="_ENREF_16"/>
      <w:r w:rsidRPr="004C59A6">
        <w:t xml:space="preserve">Guénel, P., Imbernon, E., Chevalier, A., Crinquand‐Calastreng, A., Goldberg, M., 2002. </w:t>
      </w:r>
      <w:r w:rsidR="00242AF3">
        <w:t>Leukaemia</w:t>
      </w:r>
      <w:r w:rsidRPr="004C59A6">
        <w:t xml:space="preserve"> in relation to occupational exposures to benzene and other agents: A case‐control study nested in a cohort of gas and electric utility workers. American journal of industrial medicine 42, 87-97.</w:t>
      </w:r>
      <w:bookmarkEnd w:id="39"/>
    </w:p>
    <w:p w14:paraId="09811229" w14:textId="77777777" w:rsidR="004C59A6" w:rsidRPr="004C59A6" w:rsidRDefault="004C59A6" w:rsidP="004C59A6">
      <w:pPr>
        <w:pStyle w:val="EndNoteBibliography"/>
        <w:spacing w:after="0"/>
      </w:pPr>
      <w:bookmarkStart w:id="40" w:name="_ENREF_17"/>
      <w:r w:rsidRPr="004C59A6">
        <w:t>Hayes, R.B., Dosemeci, M., Wacholder, S., Travis, L.B., Rothman, N., Hoover, R.N., Linet, M.S., Yin, S.-N., Li, G.-L., Li, C.-Y., 1997. Benzene and the dose-related incidence of hematologic neoplasms in China. Journal of the National Cancer Institute 89, 1065-1071.</w:t>
      </w:r>
      <w:bookmarkEnd w:id="40"/>
    </w:p>
    <w:p w14:paraId="30767DE4" w14:textId="77777777" w:rsidR="004C59A6" w:rsidRPr="004C59A6" w:rsidRDefault="004C59A6" w:rsidP="004C59A6">
      <w:pPr>
        <w:pStyle w:val="EndNoteBibliography"/>
        <w:spacing w:after="0"/>
      </w:pPr>
      <w:bookmarkStart w:id="41" w:name="_ENREF_18"/>
      <w:r w:rsidRPr="004C59A6">
        <w:t>Howlader, N., Noone, A., Krapcho, M., Garshell, J., Miller, D., Altekruse, S., Kosary, C., Yu, M., Ruhl, J., Tatalovich, Z., Mariotto, A., Lewis, D., Chen, H., Feuer, E., Cronin, K., 2015. SEER Cancer Statistics Review, 1975-2012, National Cancer Institute. Bethesda, MD.</w:t>
      </w:r>
      <w:bookmarkEnd w:id="41"/>
    </w:p>
    <w:p w14:paraId="3F1B96B1" w14:textId="77777777" w:rsidR="004C59A6" w:rsidRPr="004C59A6" w:rsidRDefault="004C59A6" w:rsidP="004C59A6">
      <w:pPr>
        <w:pStyle w:val="EndNoteBibliography"/>
        <w:spacing w:after="0"/>
      </w:pPr>
      <w:bookmarkStart w:id="42" w:name="_ENREF_19"/>
      <w:r w:rsidRPr="004C59A6">
        <w:t>International Agency for Research on Cancer, 2018. Benzene. International Agency for Research on Cancer, pp. 301.</w:t>
      </w:r>
      <w:bookmarkEnd w:id="42"/>
    </w:p>
    <w:p w14:paraId="25283E5C" w14:textId="77777777" w:rsidR="004C59A6" w:rsidRPr="004C59A6" w:rsidRDefault="004C59A6" w:rsidP="004C59A6">
      <w:pPr>
        <w:pStyle w:val="EndNoteBibliography"/>
        <w:spacing w:after="0"/>
      </w:pPr>
      <w:bookmarkStart w:id="43" w:name="_ENREF_20"/>
      <w:r w:rsidRPr="004C59A6">
        <w:t>Kipen, H.M., Cody, R.P., Crump, K.S., Allen, B.C., Goldstein, B.D., 1988. Hematologic effects of benzene: a thirty-five year longitudinal study of rubber workers. Toxicol Ind Health 4, 411-430.</w:t>
      </w:r>
      <w:bookmarkEnd w:id="43"/>
    </w:p>
    <w:p w14:paraId="3F16CC82" w14:textId="77777777" w:rsidR="004C59A6" w:rsidRPr="004C59A6" w:rsidRDefault="004C59A6" w:rsidP="004C59A6">
      <w:pPr>
        <w:pStyle w:val="EndNoteBibliography"/>
        <w:spacing w:after="0"/>
      </w:pPr>
      <w:bookmarkStart w:id="44" w:name="_ENREF_21"/>
      <w:r w:rsidRPr="004C59A6">
        <w:t>Li, W., Schnatter, A.R., 2018. Benzene risk assessment: does new evidence on myelodysplastic syndrome justify a new approach? Critical reviews in toxicology 48, 417-432.</w:t>
      </w:r>
      <w:bookmarkEnd w:id="44"/>
    </w:p>
    <w:p w14:paraId="5F059A68" w14:textId="77777777" w:rsidR="004C59A6" w:rsidRPr="004C59A6" w:rsidRDefault="004C59A6" w:rsidP="004C59A6">
      <w:pPr>
        <w:pStyle w:val="EndNoteBibliography"/>
        <w:spacing w:after="0"/>
      </w:pPr>
      <w:bookmarkStart w:id="45" w:name="_ENREF_22"/>
      <w:r w:rsidRPr="004C59A6">
        <w:t>Linet, M.S., Gilbert, E.S., Vermeulen, R., Dores, G.M., Yin, S.-N., Portengen, L., Hayes, R.B., Ji, B.-T., Lan, Q., Li, G.-L., Rothman, N., Control, C.C.f.D., Group, P.U.N.C.I.B.S., 2019. Benzene Exposure Response and Risk of Myeloid Neoplasms in Chinese Workers: A Multicenter Case–Cohort Study. JNCI: Journal of the National Cancer Institute 111, 465-474.</w:t>
      </w:r>
      <w:bookmarkEnd w:id="45"/>
    </w:p>
    <w:p w14:paraId="5E4DE3B0" w14:textId="77777777" w:rsidR="004C59A6" w:rsidRPr="004C59A6" w:rsidRDefault="004C59A6" w:rsidP="004C59A6">
      <w:pPr>
        <w:pStyle w:val="EndNoteBibliography"/>
        <w:spacing w:after="0"/>
      </w:pPr>
      <w:bookmarkStart w:id="46" w:name="_ENREF_23"/>
      <w:r w:rsidRPr="004C59A6">
        <w:t>North, C.M., Rooseboom, M., Kocabas, N.A., Schnatter, A.R., Faulhammer, F., Williams, S.D., 2020. Modes of Action Considerations in Threshold Expectations for Health Effects of Benzene. Submitted to Toxicology Letters.</w:t>
      </w:r>
      <w:bookmarkEnd w:id="46"/>
    </w:p>
    <w:p w14:paraId="1E5B9470" w14:textId="77777777" w:rsidR="004C59A6" w:rsidRPr="004C59A6" w:rsidRDefault="004C59A6" w:rsidP="004C59A6">
      <w:pPr>
        <w:pStyle w:val="EndNoteBibliography"/>
        <w:spacing w:after="0"/>
      </w:pPr>
      <w:bookmarkStart w:id="47" w:name="_ENREF_24"/>
      <w:r w:rsidRPr="004C59A6">
        <w:t>R Core Team, 2018. R: A language and environment for statistical computing. R Foundation for Statistical Computing, Vienna, Austria.</w:t>
      </w:r>
      <w:bookmarkEnd w:id="47"/>
    </w:p>
    <w:p w14:paraId="533213D2" w14:textId="3D75E166" w:rsidR="004C59A6" w:rsidRPr="004C59A6" w:rsidRDefault="004C59A6" w:rsidP="004C59A6">
      <w:pPr>
        <w:pStyle w:val="EndNoteBibliography"/>
        <w:spacing w:after="0"/>
      </w:pPr>
      <w:bookmarkStart w:id="48" w:name="_ENREF_25"/>
      <w:r w:rsidRPr="004C59A6">
        <w:t xml:space="preserve">Rhomberg, L., Goodman, J., Tao, G., Zu, K., Chandalia, J., Williams, P.R.D., Allen, B., 2016. Evaluation of Acute Nonlymphocytic </w:t>
      </w:r>
      <w:r w:rsidR="00242AF3">
        <w:t>Leukaemia</w:t>
      </w:r>
      <w:r w:rsidRPr="004C59A6">
        <w:t xml:space="preserve"> and Its Subtypes With Updated Benzene Exposure and Mortality Estimates: A Lifetable Analysis of the Pliofilm Cohort. Journal of Occupational and Environmental Medicine 58, 414-420.</w:t>
      </w:r>
      <w:bookmarkEnd w:id="48"/>
    </w:p>
    <w:p w14:paraId="0495C557" w14:textId="4882ECD9" w:rsidR="004C59A6" w:rsidRPr="004C59A6" w:rsidRDefault="004C59A6" w:rsidP="004C59A6">
      <w:pPr>
        <w:pStyle w:val="EndNoteBibliography"/>
        <w:spacing w:after="0"/>
      </w:pPr>
      <w:bookmarkStart w:id="49" w:name="_ENREF_26"/>
      <w:r w:rsidRPr="004C59A6">
        <w:t xml:space="preserve">Richardson, D.B., 2008. Temporal Variation in the Association between Benzene and </w:t>
      </w:r>
      <w:r w:rsidR="00242AF3">
        <w:t>Leukaemia</w:t>
      </w:r>
      <w:r w:rsidRPr="004C59A6">
        <w:t xml:space="preserve"> Mortality. Environmental Health Perspectives 116, 370-374.</w:t>
      </w:r>
      <w:bookmarkEnd w:id="49"/>
    </w:p>
    <w:p w14:paraId="3CEBC77B" w14:textId="77777777" w:rsidR="004C59A6" w:rsidRPr="004C59A6" w:rsidRDefault="004C59A6" w:rsidP="004C59A6">
      <w:pPr>
        <w:pStyle w:val="EndNoteBibliography"/>
        <w:spacing w:after="0"/>
        <w:rPr>
          <w:lang w:val="de-DE"/>
        </w:rPr>
      </w:pPr>
      <w:bookmarkStart w:id="50" w:name="_ENREF_27"/>
      <w:r w:rsidRPr="004C59A6">
        <w:t xml:space="preserve">Rinsky, R.A., Hornung, R.W., Silver, S.R., Tseng, C.Y., 2002. Benzene exposure and hematopoietic mortality: A long-term epidemiologic risk assessment. </w:t>
      </w:r>
      <w:r w:rsidRPr="004C59A6">
        <w:rPr>
          <w:lang w:val="de-DE"/>
        </w:rPr>
        <w:t>American Journal of Industrial Medicine 42, 474-480.</w:t>
      </w:r>
      <w:bookmarkEnd w:id="50"/>
    </w:p>
    <w:p w14:paraId="750622EB" w14:textId="77777777" w:rsidR="004C59A6" w:rsidRPr="004C59A6" w:rsidRDefault="004C59A6" w:rsidP="004C59A6">
      <w:pPr>
        <w:pStyle w:val="EndNoteBibliography"/>
        <w:spacing w:after="0"/>
        <w:rPr>
          <w:lang w:val="de-DE"/>
        </w:rPr>
      </w:pPr>
      <w:bookmarkStart w:id="51" w:name="_ENREF_28"/>
      <w:r w:rsidRPr="004C59A6">
        <w:rPr>
          <w:lang w:val="de-DE"/>
        </w:rPr>
        <w:t>Roller, M., Akkan, Z., Hassauer, M., Kalberlah, F., 2006. Risikoextrapolation vom Versuchstier auf den Menschen bei Kanzerogenen. Wirtschaftsverl. NW., Verlag für Neue Wiss.</w:t>
      </w:r>
      <w:bookmarkEnd w:id="51"/>
    </w:p>
    <w:p w14:paraId="72934037" w14:textId="77777777" w:rsidR="004C59A6" w:rsidRPr="004C59A6" w:rsidRDefault="004C59A6" w:rsidP="004C59A6">
      <w:pPr>
        <w:pStyle w:val="EndNoteBibliography"/>
        <w:spacing w:after="0"/>
      </w:pPr>
      <w:bookmarkStart w:id="52" w:name="_ENREF_29"/>
      <w:r w:rsidRPr="004C59A6">
        <w:rPr>
          <w:lang w:val="de-DE"/>
        </w:rPr>
        <w:t xml:space="preserve">Rothman, N., Haas, R., Hayes, R.B., Li, G.L., Wiemels, J., Campleman, S., Quintana, P.J., Xi, L.J., Dosemeci, M., Titenko-Holland, N., 1995. </w:t>
      </w:r>
      <w:r w:rsidRPr="004C59A6">
        <w:t>Benzene induces gene-duplicating but not gene-inactivating mutations at the glycophorin A locus in exposed humans. Proceedings of the National Academy of Sciences 92, 4069-4073.</w:t>
      </w:r>
      <w:bookmarkEnd w:id="52"/>
    </w:p>
    <w:p w14:paraId="6CB4E5EA" w14:textId="77777777" w:rsidR="004C59A6" w:rsidRPr="004C59A6" w:rsidRDefault="004C59A6" w:rsidP="004C59A6">
      <w:pPr>
        <w:pStyle w:val="EndNoteBibliography"/>
        <w:spacing w:after="0"/>
      </w:pPr>
      <w:bookmarkStart w:id="53" w:name="_ENREF_30"/>
      <w:r w:rsidRPr="004C59A6">
        <w:t>Rushton, L., Schnatter, A.R., Tang, G., Glass, D.C., 2014. Acute myeloid and chronic lymphoid leukaemias and exposure to low-level benzene among petroleum workers. British Journal of Cancer 110, 783-787.</w:t>
      </w:r>
      <w:bookmarkEnd w:id="53"/>
    </w:p>
    <w:p w14:paraId="7723EEAB" w14:textId="77777777" w:rsidR="004C59A6" w:rsidRPr="004C59A6" w:rsidRDefault="004C59A6" w:rsidP="004C59A6">
      <w:pPr>
        <w:pStyle w:val="EndNoteBibliography"/>
        <w:spacing w:after="0"/>
      </w:pPr>
      <w:bookmarkStart w:id="54" w:name="_ENREF_31"/>
      <w:r w:rsidRPr="004C59A6">
        <w:t>Schnatter, A.R., Glass, D.C., Tang, G., Irons, R.D., Rushton, L., 2012. Myelodysplastic syndrome and benzene exposure among petroleum workers: an international pooled analysis. Journal of the National Cancer Institute 104, 1724-1737.</w:t>
      </w:r>
      <w:bookmarkEnd w:id="54"/>
    </w:p>
    <w:p w14:paraId="6C11711F" w14:textId="77777777" w:rsidR="004C59A6" w:rsidRPr="004C59A6" w:rsidRDefault="004C59A6" w:rsidP="004C59A6">
      <w:pPr>
        <w:pStyle w:val="EndNoteBibliography"/>
        <w:spacing w:after="0"/>
      </w:pPr>
      <w:bookmarkStart w:id="55" w:name="_ENREF_32"/>
      <w:r w:rsidRPr="004C59A6">
        <w:t>Schnatter, A.R., Nicolich, M.J., Bird, M.G., 1996. Determination of leukemogenic benzene exposure concentrations: Refined analyses of the Pliofilm cohort. Risk analysis 16, 833-840.</w:t>
      </w:r>
      <w:bookmarkEnd w:id="55"/>
    </w:p>
    <w:p w14:paraId="36B4F098" w14:textId="77777777" w:rsidR="004C59A6" w:rsidRPr="004C59A6" w:rsidRDefault="004C59A6" w:rsidP="004C59A6">
      <w:pPr>
        <w:pStyle w:val="EndNoteBibliography"/>
        <w:spacing w:after="0"/>
      </w:pPr>
      <w:bookmarkStart w:id="56" w:name="_ENREF_33"/>
      <w:r w:rsidRPr="004C59A6">
        <w:t>Schnatter, A.R., Rooseboom, M., Kocabas, N.A., North, C.M., Dalzell, A., Twisk, J.J., Faulhammer, F., Rushton, E., Boogard, P.J., Ostapenkaite, V., Williams, S.D., 2020. Derivation of an Occupational Exposure Limit for Benzene Using Epidemiological Study Quality Assessment Tools Toxicology Letters.</w:t>
      </w:r>
      <w:bookmarkEnd w:id="56"/>
    </w:p>
    <w:p w14:paraId="57BCF9ED" w14:textId="6066981F" w:rsidR="004C59A6" w:rsidRPr="004C59A6" w:rsidRDefault="004C59A6" w:rsidP="004C59A6">
      <w:pPr>
        <w:pStyle w:val="EndNoteBibliography"/>
        <w:spacing w:after="0"/>
      </w:pPr>
      <w:bookmarkStart w:id="57" w:name="_ENREF_34"/>
      <w:r w:rsidRPr="004C59A6">
        <w:t xml:space="preserve">Schnatter, A.R., Rosamilia, K., Wojcik, N.C., 2005. Review of the literature on benzene exposure and </w:t>
      </w:r>
      <w:r w:rsidR="00242AF3">
        <w:t>leukaemia</w:t>
      </w:r>
      <w:r w:rsidRPr="004C59A6">
        <w:t xml:space="preserve"> subtypes. Chemico-biological interactions 153-154, 9-21.</w:t>
      </w:r>
      <w:bookmarkEnd w:id="57"/>
    </w:p>
    <w:p w14:paraId="4445249C" w14:textId="636F4B0F" w:rsidR="004C59A6" w:rsidRPr="004C59A6" w:rsidRDefault="004C59A6" w:rsidP="004C59A6">
      <w:pPr>
        <w:pStyle w:val="EndNoteBibliography"/>
        <w:spacing w:after="0"/>
      </w:pPr>
      <w:bookmarkStart w:id="58" w:name="_ENREF_35"/>
      <w:r w:rsidRPr="004C59A6">
        <w:t xml:space="preserve">Seniori Costantini, A., Quinn, M., Consonni, D., Zappa, M., 2003. Exposure to benzene and risk of </w:t>
      </w:r>
      <w:r w:rsidR="00242AF3">
        <w:t>leukaemia</w:t>
      </w:r>
      <w:r w:rsidRPr="004C59A6">
        <w:t xml:space="preserve"> among shoe factory workers. Scandinavian journal of work, environment &amp; health, 51-59.</w:t>
      </w:r>
      <w:bookmarkEnd w:id="58"/>
    </w:p>
    <w:p w14:paraId="7930BA2A" w14:textId="77777777" w:rsidR="004C59A6" w:rsidRPr="004C59A6" w:rsidRDefault="004C59A6" w:rsidP="004C59A6">
      <w:pPr>
        <w:pStyle w:val="EndNoteBibliography"/>
        <w:spacing w:after="0"/>
      </w:pPr>
      <w:bookmarkStart w:id="59" w:name="_ENREF_36"/>
      <w:r w:rsidRPr="004C59A6">
        <w:t>Slob, W., 2017. A general theory of effect size, and its consequences for defining the benchmark response (BMR) for continuous endpoints. Critical reviews in toxicology 47, 342-351.</w:t>
      </w:r>
      <w:bookmarkEnd w:id="59"/>
    </w:p>
    <w:p w14:paraId="24E086AC" w14:textId="77777777" w:rsidR="004C59A6" w:rsidRPr="004C59A6" w:rsidRDefault="004C59A6" w:rsidP="004C59A6">
      <w:pPr>
        <w:pStyle w:val="EndNoteBibliography"/>
        <w:spacing w:after="0"/>
      </w:pPr>
      <w:bookmarkStart w:id="60" w:name="_ENREF_37"/>
      <w:r w:rsidRPr="004C59A6">
        <w:t>Stenehjem, J.S., Kjarheim, K., Bratveit, M., Samuelsen, S.O., Barone-Adesi, F., Rothman, N., Lan, Q., Grimsrud, T.K., 2015. Benzene exposure and risk of lymphohaematopoietic cancers in 25,000 offshore oil industry workers. Br J Cancer 113, 1641-1641.</w:t>
      </w:r>
      <w:bookmarkEnd w:id="60"/>
    </w:p>
    <w:p w14:paraId="5FFF9289" w14:textId="77777777" w:rsidR="004C59A6" w:rsidRPr="004C59A6" w:rsidRDefault="004C59A6" w:rsidP="004C59A6">
      <w:pPr>
        <w:pStyle w:val="EndNoteBibliography"/>
        <w:spacing w:after="0"/>
      </w:pPr>
      <w:bookmarkStart w:id="61" w:name="_ENREF_38"/>
      <w:r w:rsidRPr="004C59A6">
        <w:t>United States Environmental Protection Agency, 2005. Guidelines for Carcinogen Risk Assessment.</w:t>
      </w:r>
      <w:bookmarkEnd w:id="61"/>
    </w:p>
    <w:p w14:paraId="2A44B3F0" w14:textId="77777777" w:rsidR="004C59A6" w:rsidRPr="004C59A6" w:rsidRDefault="004C59A6" w:rsidP="004C59A6">
      <w:pPr>
        <w:pStyle w:val="EndNoteBibliography"/>
        <w:spacing w:after="0"/>
      </w:pPr>
      <w:bookmarkStart w:id="62" w:name="_ENREF_39"/>
      <w:r w:rsidRPr="004C59A6">
        <w:t>Vlaanderen, J., Vermeulen, R., Heederik, D., Kromhout, H., European Union Network of Excellence, E.I.R.A.G., 2008. Guidelines to Evaluate Human Observational Studies for Quantitative Risk Assessment. Environmental Health Perspectives 116, 1700-1705.</w:t>
      </w:r>
      <w:bookmarkEnd w:id="62"/>
    </w:p>
    <w:p w14:paraId="7CD2F603" w14:textId="77777777" w:rsidR="004C59A6" w:rsidRPr="004C59A6" w:rsidRDefault="004C59A6" w:rsidP="004C59A6">
      <w:pPr>
        <w:pStyle w:val="EndNoteBibliography"/>
        <w:spacing w:after="0"/>
      </w:pPr>
      <w:bookmarkStart w:id="63" w:name="_ENREF_40"/>
      <w:r w:rsidRPr="004C59A6">
        <w:t>Wickham, H., 2016. ggplot2: Elegant Graphics for Data Analysis. Springer-Verlag New York, 2016.</w:t>
      </w:r>
      <w:bookmarkEnd w:id="63"/>
    </w:p>
    <w:p w14:paraId="3A1A12E3" w14:textId="77777777" w:rsidR="004C59A6" w:rsidRPr="004C59A6" w:rsidRDefault="004C59A6" w:rsidP="004C59A6">
      <w:pPr>
        <w:pStyle w:val="EndNoteBibliography"/>
        <w:spacing w:after="0"/>
      </w:pPr>
      <w:bookmarkStart w:id="64" w:name="_ENREF_41"/>
      <w:r w:rsidRPr="004C59A6">
        <w:t>Wong, O., 1987a. An industry wide mortality study of chemical workers occupationally exposed to benzene. I. General results. British Journal of Industrial Medicine 44, 365-381.</w:t>
      </w:r>
      <w:bookmarkEnd w:id="64"/>
    </w:p>
    <w:p w14:paraId="43BCB588" w14:textId="77777777" w:rsidR="004C59A6" w:rsidRPr="004C59A6" w:rsidRDefault="004C59A6" w:rsidP="004C59A6">
      <w:pPr>
        <w:pStyle w:val="EndNoteBibliography"/>
        <w:spacing w:after="0"/>
      </w:pPr>
      <w:bookmarkStart w:id="65" w:name="_ENREF_42"/>
      <w:r w:rsidRPr="004C59A6">
        <w:t>Wong, O., 1987b. An industry wide mortality study of chemical workers occupationally exposed to benzene. II. Dose response analyses. British Journal of Industrial Medicine 44, 382-395.</w:t>
      </w:r>
      <w:bookmarkEnd w:id="65"/>
    </w:p>
    <w:p w14:paraId="2EDDF369" w14:textId="622FBC57" w:rsidR="004C59A6" w:rsidRPr="004C59A6" w:rsidRDefault="004C59A6" w:rsidP="004C59A6">
      <w:pPr>
        <w:pStyle w:val="EndNoteBibliography"/>
      </w:pPr>
      <w:bookmarkStart w:id="66" w:name="_ENREF_43"/>
      <w:r w:rsidRPr="004C59A6">
        <w:t xml:space="preserve">Wong, O., Harris, F., Armstrong, T.W., Hua, F., 2010. A hospital-based case-control study of acute myeloid </w:t>
      </w:r>
      <w:r w:rsidR="00242AF3">
        <w:t>leukaemia</w:t>
      </w:r>
      <w:r w:rsidRPr="004C59A6">
        <w:t xml:space="preserve"> in Shanghai: analysis of environmental and occupational risk factors by subtypes of the WHO classification. Chemico-biological interactions 184, 112-128.</w:t>
      </w:r>
      <w:bookmarkEnd w:id="66"/>
    </w:p>
    <w:p w14:paraId="341ED1C4" w14:textId="5F7EED81" w:rsidR="007C0D52" w:rsidRPr="00CD48FA" w:rsidRDefault="004653BE" w:rsidP="007C0D52">
      <w:pPr>
        <w:rPr>
          <w:lang w:val="en-GB"/>
        </w:rPr>
      </w:pPr>
      <w:r>
        <w:rPr>
          <w:lang w:val="en-GB"/>
        </w:rPr>
        <w:fldChar w:fldCharType="end"/>
      </w:r>
    </w:p>
    <w:p w14:paraId="2EAF6413" w14:textId="4C3D0F01" w:rsidR="00C23700" w:rsidRPr="00CD48FA" w:rsidRDefault="00C23700" w:rsidP="00BA4B41">
      <w:pPr>
        <w:rPr>
          <w:lang w:val="en-GB"/>
        </w:rPr>
      </w:pPr>
    </w:p>
    <w:sectPr w:rsidR="00C23700" w:rsidRPr="00CD48F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C12FB27" w16cex:dateUtc="2020-04-28T21:56:24.62Z"/>
  <w16cex:commentExtensible w16cex:durableId="6DCBAB67" w16cex:dateUtc="2020-04-28T22:00:05.809Z"/>
  <w16cex:commentExtensible w16cex:durableId="251205C6" w16cex:dateUtc="2020-04-28T22:05:37.346Z"/>
  <w16cex:commentExtensible w16cex:durableId="6794A150" w16cex:dateUtc="2020-04-28T22:12:04.411Z"/>
  <w16cex:commentExtensible w16cex:durableId="186F204D" w16cex:dateUtc="2020-04-29T01:10:26.813Z"/>
  <w16cex:commentExtensible w16cex:durableId="361ABF3C" w16cex:dateUtc="2020-04-30T19:43:20.438Z"/>
  <w16cex:commentExtensible w16cex:durableId="5CCC8549" w16cex:dateUtc="2020-04-30T19:45:01.536Z"/>
  <w16cex:commentExtensible w16cex:durableId="4F615FFC" w16cex:dateUtc="2020-04-30T20:03:40.601Z"/>
  <w16cex:commentExtensible w16cex:durableId="52B16EF3" w16cex:dateUtc="2020-04-30T20:08:41.265Z"/>
  <w16cex:commentExtensible w16cex:durableId="7AC6E6C2" w16cex:dateUtc="2020-04-30T20:20:54.44Z"/>
  <w16cex:commentExtensible w16cex:durableId="4EE9BAF2" w16cex:dateUtc="2020-04-30T20:23:09.726Z"/>
  <w16cex:commentExtensible w16cex:durableId="235B785C" w16cex:dateUtc="2020-04-30T20:25:49.997Z"/>
  <w16cex:commentExtensible w16cex:durableId="63B82CA8" w16cex:dateUtc="2020-04-30T20:29:50.735Z"/>
  <w16cex:commentExtensible w16cex:durableId="075C9051" w16cex:dateUtc="2020-05-19T19:08:12.601Z"/>
  <w16cex:commentExtensible w16cex:durableId="48E511D0" w16cex:dateUtc="2020-05-19T19:09:55.813Z"/>
  <w16cex:commentExtensible w16cex:durableId="7B0E7A79" w16cex:dateUtc="2020-05-19T19:46:56.931Z"/>
  <w16cex:commentExtensible w16cex:durableId="6E5A0D28" w16cex:dateUtc="2020-04-29T01:10:26.813Z"/>
  <w16cex:commentExtensible w16cex:durableId="3E7A2890" w16cex:dateUtc="2020-05-19T19:09:55.813Z"/>
  <w16cex:commentExtensible w16cex:durableId="32CEE48E" w16cex:dateUtc="2020-05-19T19:25:45.868Z"/>
  <w16cex:commentExtensible w16cex:durableId="3C3DF2E9" w16cex:dateUtc="2020-04-30T19:50:30.464Z"/>
  <w16cex:commentExtensible w16cex:durableId="3285E793" w16cex:dateUtc="2020-04-30T19:52:46.59Z"/>
  <w16cex:commentExtensible w16cex:durableId="055A2153" w16cex:dateUtc="2020-05-19T19:26:39.286Z"/>
  <w16cex:commentExtensible w16cex:durableId="0E5239C5" w16cex:dateUtc="2020-05-25T22:26:25.264Z"/>
  <w16cex:commentExtensible w16cex:durableId="398FC702" w16cex:dateUtc="2020-06-15T20:43:34.113Z"/>
  <w16cex:commentExtensible w16cex:durableId="1D2DF3EB" w16cex:dateUtc="2020-06-15T20:44:16.601Z"/>
  <w16cex:commentExtensible w16cex:durableId="1CAD8AF2" w16cex:dateUtc="2020-06-15T20:45:43.884Z"/>
  <w16cex:commentExtensible w16cex:durableId="5808EAE2" w16cex:dateUtc="2020-06-15T20:46:49.325Z"/>
  <w16cex:commentExtensible w16cex:durableId="1258D21C" w16cex:dateUtc="2020-06-15T20:47:30.741Z"/>
  <w16cex:commentExtensible w16cex:durableId="5546CB48" w16cex:dateUtc="2020-06-15T20:48:23.991Z"/>
  <w16cex:commentExtensible w16cex:durableId="1D5F3DFE" w16cex:dateUtc="2020-06-15T21:32:34.294Z"/>
</w16cex:commentsExtensible>
</file>

<file path=word/commentsIds.xml><?xml version="1.0" encoding="utf-8"?>
<w16cid:commentsIds xmlns:mc="http://schemas.openxmlformats.org/markup-compatibility/2006" xmlns:w16cid="http://schemas.microsoft.com/office/word/2016/wordml/cid" mc:Ignorable="w16cid">
  <w16cid:commentId w16cid:paraId="1F8D5DED" w16cid:durableId="3D0306B2"/>
  <w16cid:commentId w16cid:paraId="5620E392" w16cid:durableId="385F0553"/>
  <w16cid:commentId w16cid:paraId="4383060A" w16cid:durableId="5106CF69"/>
  <w16cid:commentId w16cid:paraId="3D22B45F" w16cid:durableId="2D6EA4D9"/>
  <w16cid:commentId w16cid:paraId="30A17399" w16cid:durableId="43C9D839"/>
  <w16cid:commentId w16cid:paraId="1FDD0787" w16cid:durableId="23BA7F6E"/>
  <w16cid:commentId w16cid:paraId="3B0C5DB9" w16cid:durableId="6D558A73"/>
  <w16cid:commentId w16cid:paraId="0EE6F041" w16cid:durableId="71B819BB"/>
  <w16cid:commentId w16cid:paraId="205952C7" w16cid:durableId="26DB7E5F"/>
  <w16cid:commentId w16cid:paraId="2B5DCD5E" w16cid:durableId="00F4816F"/>
  <w16cid:commentId w16cid:paraId="73E39B94" w16cid:durableId="386FC026"/>
  <w16cid:commentId w16cid:paraId="073E780E" w16cid:durableId="70DCF4C7"/>
  <w16cid:commentId w16cid:paraId="649D0387" w16cid:durableId="11805BB6"/>
  <w16cid:commentId w16cid:paraId="501B16A2" w16cid:durableId="7BC0CAAE"/>
  <w16cid:commentId w16cid:paraId="5CD38BAC" w16cid:durableId="67A75B6D"/>
  <w16cid:commentId w16cid:paraId="3FB4C586" w16cid:durableId="4BF830E9"/>
  <w16cid:commentId w16cid:paraId="04110BB1" w16cid:durableId="251205C6"/>
  <w16cid:commentId w16cid:paraId="1FCD727E" w16cid:durableId="2CF4B398"/>
  <w16cid:commentId w16cid:paraId="05A38A26" w16cid:durableId="3FA7D6B4"/>
  <w16cid:commentId w16cid:paraId="67505A36" w16cid:durableId="1E8CC05C"/>
  <w16cid:commentId w16cid:paraId="251DF2E4" w16cid:durableId="2CAE7759"/>
  <w16cid:commentId w16cid:paraId="5874E0BD" w16cid:durableId="376B0444"/>
  <w16cid:commentId w16cid:paraId="63394332" w16cid:durableId="19DA02ED"/>
  <w16cid:commentId w16cid:paraId="56A89E9B" w16cid:durableId="01CD25E4"/>
  <w16cid:commentId w16cid:paraId="0484DF78" w16cid:durableId="102BD69A"/>
  <w16cid:commentId w16cid:paraId="63EF6A26" w16cid:durableId="0D4A5554"/>
  <w16cid:commentId w16cid:paraId="3840C609" w16cid:durableId="20BF1BBE"/>
  <w16cid:commentId w16cid:paraId="0986CD07" w16cid:durableId="78194CA2"/>
  <w16cid:commentId w16cid:paraId="57BAB287" w16cid:durableId="58A22DEE"/>
  <w16cid:commentId w16cid:paraId="4E958FCA" w16cid:durableId="075C9051"/>
  <w16cid:commentId w16cid:paraId="3A98AD45" w16cid:durableId="5FE2F83F"/>
  <w16cid:commentId w16cid:paraId="2ED9BCF0" w16cid:durableId="6E5A0D28"/>
  <w16cid:commentId w16cid:paraId="48818102" w16cid:durableId="27122AA8"/>
  <w16cid:commentId w16cid:paraId="32A16F57" w16cid:durableId="2291D339"/>
  <w16cid:commentId w16cid:paraId="3A79F1D0" w16cid:durableId="2291D6A3"/>
  <w16cid:commentId w16cid:paraId="340BA978" w16cid:durableId="0E5239C5"/>
  <w16cid:commentId w16cid:paraId="36A9F8FE" w16cid:durableId="4701CD3D"/>
  <w16cid:commentId w16cid:paraId="1F21A6C4" w16cid:durableId="0E61F7A8"/>
  <w16cid:commentId w16cid:paraId="629C43C3" w16cid:durableId="76594546"/>
  <w16cid:commentId w16cid:paraId="5C84D40C" w16cid:durableId="358D0710"/>
  <w16cid:commentId w16cid:paraId="0C0E6867" w16cid:durableId="2FB2D485"/>
  <w16cid:commentId w16cid:paraId="14D48738" w16cid:durableId="5891F682"/>
  <w16cid:commentId w16cid:paraId="34B74CB0" w16cid:durableId="3E7A2890"/>
  <w16cid:commentId w16cid:paraId="460C6E34" w16cid:durableId="1198CB6C"/>
  <w16cid:commentId w16cid:paraId="5853A0F8" w16cid:durableId="6A6A4642"/>
  <w16cid:commentId w16cid:paraId="4E016806" w16cid:durableId="304EBE9D"/>
  <w16cid:commentId w16cid:paraId="47D6C8C9" w16cid:durableId="32CEE48E"/>
  <w16cid:commentId w16cid:paraId="39FDDF2A" w16cid:durableId="3C3DF2E9"/>
  <w16cid:commentId w16cid:paraId="58725556" w16cid:durableId="4E4E027A"/>
  <w16cid:commentId w16cid:paraId="45C5CE2A" w16cid:durableId="3285E793"/>
  <w16cid:commentId w16cid:paraId="4CF80BE8" w16cid:durableId="77DE1E72"/>
  <w16cid:commentId w16cid:paraId="363B24D9" w16cid:durableId="0B8C7EC5"/>
  <w16cid:commentId w16cid:paraId="5FC505AD" w16cid:durableId="055A2153"/>
  <w16cid:commentId w16cid:paraId="5831BCD0" w16cid:durableId="70DF2809"/>
  <w16cid:commentId w16cid:paraId="64BA40D1" w16cid:durableId="7315C771"/>
  <w16cid:commentId w16cid:paraId="0FDC6D61" w16cid:durableId="226165B8"/>
  <w16cid:commentId w16cid:paraId="165CE826" w16cid:durableId="2C1817B3"/>
  <w16cid:commentId w16cid:paraId="0542BF58" w16cid:durableId="2D6E7DB3"/>
  <w16cid:commentId w16cid:paraId="092A2A8D" w16cid:durableId="6599C03E"/>
  <w16cid:commentId w16cid:paraId="209299D2" w16cid:durableId="2291DA82"/>
  <w16cid:commentId w16cid:paraId="6140D5C5" w16cid:durableId="5B327424"/>
  <w16cid:commentId w16cid:paraId="592322DF" w16cid:durableId="7BDF0893"/>
  <w16cid:commentId w16cid:paraId="4BDE203E" w16cid:durableId="2F7CF80B"/>
  <w16cid:commentId w16cid:paraId="4EEE852C" w16cid:durableId="361ABF3C"/>
  <w16cid:commentId w16cid:paraId="6FC6A21B" w16cid:durableId="001415BA"/>
  <w16cid:commentId w16cid:paraId="0082FDE5" w16cid:durableId="4717BD62"/>
  <w16cid:commentId w16cid:paraId="3952EFEE" w16cid:durableId="09EC7152"/>
  <w16cid:commentId w16cid:paraId="6E945A21" w16cid:durableId="3AD38054"/>
  <w16cid:commentId w16cid:paraId="61DF7B31" w16cid:durableId="2FB8C078"/>
  <w16cid:commentId w16cid:paraId="7F37BEAF" w16cid:durableId="134B68EC"/>
  <w16cid:commentId w16cid:paraId="26AF0482" w16cid:durableId="6AD066E2"/>
  <w16cid:commentId w16cid:paraId="4AF9C3D4" w16cid:durableId="5CCC8549"/>
  <w16cid:commentId w16cid:paraId="61881FD3" w16cid:durableId="1B9D12C0"/>
  <w16cid:commentId w16cid:paraId="714E0E85" w16cid:durableId="3E12983B"/>
  <w16cid:commentId w16cid:paraId="414CBA9E" w16cid:durableId="63375F75"/>
  <w16cid:commentId w16cid:paraId="1E8DDF60" w16cid:durableId="152B1A6A"/>
  <w16cid:commentId w16cid:paraId="00A2538B" w16cid:durableId="7B2ACD1C"/>
  <w16cid:commentId w16cid:paraId="3D58A00C" w16cid:durableId="5D5E265D"/>
  <w16cid:commentId w16cid:paraId="65B08119" w16cid:durableId="483180B1"/>
  <w16cid:commentId w16cid:paraId="516518F9" w16cid:durableId="56863F1B"/>
  <w16cid:commentId w16cid:paraId="1031FC93" w16cid:durableId="3C9745EF"/>
  <w16cid:commentId w16cid:paraId="76ACFE00" w16cid:durableId="4F615FFC"/>
  <w16cid:commentId w16cid:paraId="55DB7724" w16cid:durableId="5B0A7E7E"/>
  <w16cid:commentId w16cid:paraId="75CF0032" w16cid:durableId="128D5815"/>
  <w16cid:commentId w16cid:paraId="52B4A5B9" w16cid:durableId="4BB25402"/>
  <w16cid:commentId w16cid:paraId="51E31982" w16cid:durableId="09FB1996"/>
  <w16cid:commentId w16cid:paraId="38420D92" w16cid:durableId="1D8CACCE"/>
  <w16cid:commentId w16cid:paraId="5CA92217" w16cid:durableId="4AE6DCE4"/>
  <w16cid:commentId w16cid:paraId="523BE460" w16cid:durableId="34FFFE01"/>
  <w16cid:commentId w16cid:paraId="35835A50" w16cid:durableId="52B16EF3"/>
  <w16cid:commentId w16cid:paraId="334EACBD" w16cid:durableId="40C4F555"/>
  <w16cid:commentId w16cid:paraId="4B8B8046" w16cid:durableId="3B1D7D90"/>
  <w16cid:commentId w16cid:paraId="11EB0B7F" w16cid:durableId="7931C6DD"/>
  <w16cid:commentId w16cid:paraId="00678F8A" w16cid:durableId="3FECE06A"/>
  <w16cid:commentId w16cid:paraId="5DE027F8" w16cid:durableId="4408A743"/>
  <w16cid:commentId w16cid:paraId="20DE1299" w16cid:durableId="00B538FE"/>
  <w16cid:commentId w16cid:paraId="5A074370" w16cid:durableId="7570D15A"/>
  <w16cid:commentId w16cid:paraId="035CC38A" w16cid:durableId="7AC6E6C2"/>
  <w16cid:commentId w16cid:paraId="27420341" w16cid:durableId="0669BCBA"/>
  <w16cid:commentId w16cid:paraId="41352D63" w16cid:durableId="6C5ADEF8"/>
  <w16cid:commentId w16cid:paraId="71CDECD6" w16cid:durableId="7B0E7A79"/>
  <w16cid:commentId w16cid:paraId="0842ABB9" w16cid:durableId="5AA99033"/>
  <w16cid:commentId w16cid:paraId="77464585" w16cid:durableId="4EE9BAF2"/>
  <w16cid:commentId w16cid:paraId="5446EC6F" w16cid:durableId="3EF2A200"/>
  <w16cid:commentId w16cid:paraId="44DFAAC5" w16cid:durableId="21936E91"/>
  <w16cid:commentId w16cid:paraId="2DE28AA4" w16cid:durableId="0FC982E7"/>
  <w16cid:commentId w16cid:paraId="2C0FC76B" w16cid:durableId="235B785C"/>
  <w16cid:commentId w16cid:paraId="211A55CF" w16cid:durableId="6CA5F8A9"/>
  <w16cid:commentId w16cid:paraId="05A1A9EB" w16cid:durableId="63B82CA8"/>
  <w16cid:commentId w16cid:paraId="2C38DF5D" w16cid:durableId="15EC21CF"/>
  <w16cid:commentId w16cid:paraId="3C630E52" w16cid:durableId="426AD909"/>
  <w16cid:commentId w16cid:paraId="35E56370" w16cid:durableId="7D82D4C7"/>
  <w16cid:commentId w16cid:paraId="06E90DDF" w16cid:durableId="594C1BDD"/>
  <w16cid:commentId w16cid:paraId="6B98F975" w16cid:durableId="0137323D"/>
  <w16cid:commentId w16cid:paraId="50CB286C" w16cid:durableId="46FF98C5"/>
  <w16cid:commentId w16cid:paraId="1CDA9559" w16cid:durableId="77EC8566"/>
  <w16cid:commentId w16cid:paraId="55093B37" w16cid:durableId="4BEDF6A4"/>
  <w16cid:commentId w16cid:paraId="5E318386" w16cid:durableId="086DDA7D"/>
  <w16cid:commentId w16cid:paraId="06FA5AFB" w16cid:durableId="398FC702"/>
  <w16cid:commentId w16cid:paraId="228DC015" w16cid:durableId="1D2DF3EB"/>
  <w16cid:commentId w16cid:paraId="7B0C569D" w16cid:durableId="1CAD8AF2"/>
  <w16cid:commentId w16cid:paraId="49478D93" w16cid:durableId="5808EAE2"/>
  <w16cid:commentId w16cid:paraId="57EB9872" w16cid:durableId="1258D21C"/>
  <w16cid:commentId w16cid:paraId="23D9822E" w16cid:durableId="5546CB48"/>
  <w16cid:commentId w16cid:paraId="34D60003" w16cid:durableId="1D5F3DFE"/>
  <w16cid:commentId w16cid:paraId="22FF4332" w16cid:durableId="10139EEA"/>
  <w16cid:commentId w16cid:paraId="14F00724" w16cid:durableId="711948C5"/>
  <w16cid:commentId w16cid:paraId="60F0E099" w16cid:durableId="27943466"/>
  <w16cid:commentId w16cid:paraId="48231821" w16cid:durableId="055BF56C"/>
  <w16cid:commentId w16cid:paraId="09EF70BC" w16cid:durableId="7E2866F3"/>
  <w16cid:commentId w16cid:paraId="00ED62C0" w16cid:durableId="22284ED0"/>
  <w16cid:commentId w16cid:paraId="49B4F119" w16cid:durableId="699F5444"/>
  <w16cid:commentId w16cid:paraId="37B276C4" w16cid:durableId="7087EB64"/>
  <w16cid:commentId w16cid:paraId="348B6F24" w16cid:durableId="4357070E"/>
  <w16cid:commentId w16cid:paraId="001284F6" w16cid:durableId="161FB497"/>
  <w16cid:commentId w16cid:paraId="006C13A1" w16cid:durableId="5BED2061"/>
  <w16cid:commentId w16cid:paraId="5F6A2FC5" w16cid:durableId="75EED375"/>
  <w16cid:commentId w16cid:paraId="73DE9F06" w16cid:durableId="318E6D6F"/>
  <w16cid:commentId w16cid:paraId="0C46F6E7" w16cid:durableId="046DCB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09303" w14:textId="77777777" w:rsidR="0007366D" w:rsidRDefault="0007366D" w:rsidP="002D1BCE">
      <w:pPr>
        <w:spacing w:after="0" w:line="240" w:lineRule="auto"/>
      </w:pPr>
      <w:r>
        <w:separator/>
      </w:r>
    </w:p>
  </w:endnote>
  <w:endnote w:type="continuationSeparator" w:id="0">
    <w:p w14:paraId="3617C99A" w14:textId="77777777" w:rsidR="0007366D" w:rsidRDefault="0007366D" w:rsidP="002D1BCE">
      <w:pPr>
        <w:spacing w:after="0" w:line="240" w:lineRule="auto"/>
      </w:pPr>
      <w:r>
        <w:continuationSeparator/>
      </w:r>
    </w:p>
  </w:endnote>
  <w:endnote w:type="continuationNotice" w:id="1">
    <w:p w14:paraId="60DA19B0" w14:textId="77777777" w:rsidR="0007366D" w:rsidRDefault="000736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3C2D8" w14:textId="77777777" w:rsidR="0007366D" w:rsidRDefault="000736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A0ADE" w14:textId="77777777" w:rsidR="0007366D" w:rsidRDefault="000736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D9FCC" w14:textId="77777777" w:rsidR="0007366D" w:rsidRDefault="000736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AC339" w14:textId="77777777" w:rsidR="0007366D" w:rsidRDefault="0007366D" w:rsidP="002D1BCE">
      <w:pPr>
        <w:spacing w:after="0" w:line="240" w:lineRule="auto"/>
      </w:pPr>
      <w:r>
        <w:separator/>
      </w:r>
    </w:p>
  </w:footnote>
  <w:footnote w:type="continuationSeparator" w:id="0">
    <w:p w14:paraId="403A300A" w14:textId="77777777" w:rsidR="0007366D" w:rsidRDefault="0007366D" w:rsidP="002D1BCE">
      <w:pPr>
        <w:spacing w:after="0" w:line="240" w:lineRule="auto"/>
      </w:pPr>
      <w:r>
        <w:continuationSeparator/>
      </w:r>
    </w:p>
  </w:footnote>
  <w:footnote w:type="continuationNotice" w:id="1">
    <w:p w14:paraId="60D4E32B" w14:textId="77777777" w:rsidR="0007366D" w:rsidRDefault="000736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F031E" w14:textId="77777777" w:rsidR="0007366D" w:rsidRDefault="000736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734122"/>
      <w:docPartObj>
        <w:docPartGallery w:val="Watermarks"/>
        <w:docPartUnique/>
      </w:docPartObj>
    </w:sdtPr>
    <w:sdtEndPr/>
    <w:sdtContent>
      <w:p w14:paraId="2EA5D598" w14:textId="2C8495DA" w:rsidR="0007366D" w:rsidRDefault="00D464A3">
        <w:pPr>
          <w:pStyle w:val="Header"/>
        </w:pPr>
        <w:r>
          <w:rPr>
            <w:noProof/>
          </w:rPr>
          <w:pict w14:anchorId="137831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3A949" w14:textId="77777777" w:rsidR="0007366D" w:rsidRDefault="000736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Toxicology Letter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d0929f959rse9ex25rp09za5avf0ept9spf&quot;&gt;CMN EndNote Library-Saved&lt;record-ids&gt;&lt;item&gt;1&lt;/item&gt;&lt;item&gt;96&lt;/item&gt;&lt;item&gt;157&lt;/item&gt;&lt;item&gt;158&lt;/item&gt;&lt;item&gt;380&lt;/item&gt;&lt;item&gt;395&lt;/item&gt;&lt;item&gt;436&lt;/item&gt;&lt;item&gt;508&lt;/item&gt;&lt;item&gt;564&lt;/item&gt;&lt;item&gt;574&lt;/item&gt;&lt;item&gt;611&lt;/item&gt;&lt;item&gt;613&lt;/item&gt;&lt;item&gt;672&lt;/item&gt;&lt;item&gt;680&lt;/item&gt;&lt;item&gt;682&lt;/item&gt;&lt;item&gt;683&lt;/item&gt;&lt;item&gt;689&lt;/item&gt;&lt;item&gt;706&lt;/item&gt;&lt;item&gt;709&lt;/item&gt;&lt;item&gt;710&lt;/item&gt;&lt;item&gt;726&lt;/item&gt;&lt;item&gt;852&lt;/item&gt;&lt;item&gt;947&lt;/item&gt;&lt;item&gt;982&lt;/item&gt;&lt;item&gt;1007&lt;/item&gt;&lt;item&gt;1012&lt;/item&gt;&lt;item&gt;1019&lt;/item&gt;&lt;item&gt;1020&lt;/item&gt;&lt;item&gt;1021&lt;/item&gt;&lt;item&gt;1029&lt;/item&gt;&lt;item&gt;1068&lt;/item&gt;&lt;item&gt;1091&lt;/item&gt;&lt;item&gt;1092&lt;/item&gt;&lt;item&gt;1147&lt;/item&gt;&lt;item&gt;1149&lt;/item&gt;&lt;item&gt;1158&lt;/item&gt;&lt;item&gt;1159&lt;/item&gt;&lt;item&gt;1195&lt;/item&gt;&lt;item&gt;1196&lt;/item&gt;&lt;item&gt;1198&lt;/item&gt;&lt;item&gt;1199&lt;/item&gt;&lt;item&gt;1201&lt;/item&gt;&lt;item&gt;1204&lt;/item&gt;&lt;/record-ids&gt;&lt;/item&gt;&lt;/Libraries&gt;"/>
  </w:docVars>
  <w:rsids>
    <w:rsidRoot w:val="00230BCD"/>
    <w:rsid w:val="0000542F"/>
    <w:rsid w:val="000129B8"/>
    <w:rsid w:val="000164BD"/>
    <w:rsid w:val="00025354"/>
    <w:rsid w:val="000257A9"/>
    <w:rsid w:val="00026861"/>
    <w:rsid w:val="0004631E"/>
    <w:rsid w:val="0005608B"/>
    <w:rsid w:val="000586AF"/>
    <w:rsid w:val="00060087"/>
    <w:rsid w:val="00061B07"/>
    <w:rsid w:val="000635B6"/>
    <w:rsid w:val="0007366D"/>
    <w:rsid w:val="000929BF"/>
    <w:rsid w:val="000A5255"/>
    <w:rsid w:val="000C245B"/>
    <w:rsid w:val="000C52E9"/>
    <w:rsid w:val="000D03F1"/>
    <w:rsid w:val="000D0FF4"/>
    <w:rsid w:val="000D1BF3"/>
    <w:rsid w:val="000D2A86"/>
    <w:rsid w:val="000D47D4"/>
    <w:rsid w:val="000D533A"/>
    <w:rsid w:val="000E4F5B"/>
    <w:rsid w:val="001177B7"/>
    <w:rsid w:val="00121AD9"/>
    <w:rsid w:val="00127B33"/>
    <w:rsid w:val="00131B81"/>
    <w:rsid w:val="00132027"/>
    <w:rsid w:val="00143009"/>
    <w:rsid w:val="001449CB"/>
    <w:rsid w:val="00162EEE"/>
    <w:rsid w:val="00164730"/>
    <w:rsid w:val="001658E1"/>
    <w:rsid w:val="00167F8A"/>
    <w:rsid w:val="001726FA"/>
    <w:rsid w:val="00187F40"/>
    <w:rsid w:val="00193C27"/>
    <w:rsid w:val="001975C0"/>
    <w:rsid w:val="00197AEB"/>
    <w:rsid w:val="001A1CDF"/>
    <w:rsid w:val="001B17FB"/>
    <w:rsid w:val="001B1E52"/>
    <w:rsid w:val="001C48DA"/>
    <w:rsid w:val="001D4593"/>
    <w:rsid w:val="001E3309"/>
    <w:rsid w:val="001E3D26"/>
    <w:rsid w:val="001F1FE5"/>
    <w:rsid w:val="001F3BB4"/>
    <w:rsid w:val="00210CAE"/>
    <w:rsid w:val="00211A21"/>
    <w:rsid w:val="002177DB"/>
    <w:rsid w:val="00224020"/>
    <w:rsid w:val="002266E7"/>
    <w:rsid w:val="0022692B"/>
    <w:rsid w:val="00226C08"/>
    <w:rsid w:val="002279EB"/>
    <w:rsid w:val="00230BCD"/>
    <w:rsid w:val="0023771E"/>
    <w:rsid w:val="00240AFB"/>
    <w:rsid w:val="00242AF3"/>
    <w:rsid w:val="00256075"/>
    <w:rsid w:val="00257D95"/>
    <w:rsid w:val="002614C3"/>
    <w:rsid w:val="002630BB"/>
    <w:rsid w:val="0026561A"/>
    <w:rsid w:val="00267FA2"/>
    <w:rsid w:val="002868D7"/>
    <w:rsid w:val="002A2DFA"/>
    <w:rsid w:val="002A54F9"/>
    <w:rsid w:val="002D1BCE"/>
    <w:rsid w:val="002D2F9E"/>
    <w:rsid w:val="002D4591"/>
    <w:rsid w:val="002D6973"/>
    <w:rsid w:val="002E713C"/>
    <w:rsid w:val="002F3AE2"/>
    <w:rsid w:val="00300BB1"/>
    <w:rsid w:val="0031002A"/>
    <w:rsid w:val="0031045D"/>
    <w:rsid w:val="003279CC"/>
    <w:rsid w:val="00331D2F"/>
    <w:rsid w:val="00332DB4"/>
    <w:rsid w:val="00333C84"/>
    <w:rsid w:val="00334936"/>
    <w:rsid w:val="003371A1"/>
    <w:rsid w:val="003434AF"/>
    <w:rsid w:val="00345155"/>
    <w:rsid w:val="00345649"/>
    <w:rsid w:val="00351094"/>
    <w:rsid w:val="00362552"/>
    <w:rsid w:val="0037012F"/>
    <w:rsid w:val="00380082"/>
    <w:rsid w:val="00393F32"/>
    <w:rsid w:val="00397867"/>
    <w:rsid w:val="00397BBA"/>
    <w:rsid w:val="003A2BEB"/>
    <w:rsid w:val="003B2390"/>
    <w:rsid w:val="003C6AFE"/>
    <w:rsid w:val="003D2ECF"/>
    <w:rsid w:val="003D719E"/>
    <w:rsid w:val="003E0DF8"/>
    <w:rsid w:val="003E1538"/>
    <w:rsid w:val="003F1958"/>
    <w:rsid w:val="00423508"/>
    <w:rsid w:val="00424E9F"/>
    <w:rsid w:val="004251C5"/>
    <w:rsid w:val="00432E1D"/>
    <w:rsid w:val="00432F87"/>
    <w:rsid w:val="00436B27"/>
    <w:rsid w:val="004452A9"/>
    <w:rsid w:val="00456C76"/>
    <w:rsid w:val="004653BE"/>
    <w:rsid w:val="004746BB"/>
    <w:rsid w:val="00477453"/>
    <w:rsid w:val="004806C1"/>
    <w:rsid w:val="004817F0"/>
    <w:rsid w:val="00484363"/>
    <w:rsid w:val="00492D16"/>
    <w:rsid w:val="004A66E1"/>
    <w:rsid w:val="004C1BA9"/>
    <w:rsid w:val="004C59A6"/>
    <w:rsid w:val="004C6879"/>
    <w:rsid w:val="004D1FF9"/>
    <w:rsid w:val="004D4603"/>
    <w:rsid w:val="004F76B6"/>
    <w:rsid w:val="0051476E"/>
    <w:rsid w:val="0052048E"/>
    <w:rsid w:val="00522F67"/>
    <w:rsid w:val="00532651"/>
    <w:rsid w:val="005502AA"/>
    <w:rsid w:val="005515AD"/>
    <w:rsid w:val="0056544D"/>
    <w:rsid w:val="00587C3F"/>
    <w:rsid w:val="00592D60"/>
    <w:rsid w:val="00593CA0"/>
    <w:rsid w:val="005A23B5"/>
    <w:rsid w:val="005A509A"/>
    <w:rsid w:val="005B236B"/>
    <w:rsid w:val="005B4B38"/>
    <w:rsid w:val="005C0015"/>
    <w:rsid w:val="005D0F0C"/>
    <w:rsid w:val="005D1928"/>
    <w:rsid w:val="005D5FA8"/>
    <w:rsid w:val="005D6A2D"/>
    <w:rsid w:val="005E2D2B"/>
    <w:rsid w:val="005E3D87"/>
    <w:rsid w:val="005E74CB"/>
    <w:rsid w:val="005F2372"/>
    <w:rsid w:val="005F4832"/>
    <w:rsid w:val="005F72AB"/>
    <w:rsid w:val="00604152"/>
    <w:rsid w:val="00646622"/>
    <w:rsid w:val="00666452"/>
    <w:rsid w:val="00666A06"/>
    <w:rsid w:val="00667F5F"/>
    <w:rsid w:val="0067236B"/>
    <w:rsid w:val="00683F9C"/>
    <w:rsid w:val="00691369"/>
    <w:rsid w:val="006D2C1C"/>
    <w:rsid w:val="006D6D66"/>
    <w:rsid w:val="007111A9"/>
    <w:rsid w:val="00712095"/>
    <w:rsid w:val="0073116C"/>
    <w:rsid w:val="007368F4"/>
    <w:rsid w:val="00757FA6"/>
    <w:rsid w:val="00763973"/>
    <w:rsid w:val="00772B27"/>
    <w:rsid w:val="007951DC"/>
    <w:rsid w:val="00796DE5"/>
    <w:rsid w:val="007B1887"/>
    <w:rsid w:val="007C0D52"/>
    <w:rsid w:val="007D081C"/>
    <w:rsid w:val="007D393F"/>
    <w:rsid w:val="007E3C6F"/>
    <w:rsid w:val="007F0971"/>
    <w:rsid w:val="00823E2B"/>
    <w:rsid w:val="0083196A"/>
    <w:rsid w:val="00832F8A"/>
    <w:rsid w:val="0084577C"/>
    <w:rsid w:val="0085079C"/>
    <w:rsid w:val="00853390"/>
    <w:rsid w:val="00855040"/>
    <w:rsid w:val="00857507"/>
    <w:rsid w:val="008633D4"/>
    <w:rsid w:val="00877C6C"/>
    <w:rsid w:val="008807B7"/>
    <w:rsid w:val="00882DBE"/>
    <w:rsid w:val="008922A1"/>
    <w:rsid w:val="008A540D"/>
    <w:rsid w:val="008A7255"/>
    <w:rsid w:val="008B07EE"/>
    <w:rsid w:val="008B6F21"/>
    <w:rsid w:val="008D59BE"/>
    <w:rsid w:val="008F5802"/>
    <w:rsid w:val="00910740"/>
    <w:rsid w:val="009175D6"/>
    <w:rsid w:val="009176B9"/>
    <w:rsid w:val="009309CC"/>
    <w:rsid w:val="00936C41"/>
    <w:rsid w:val="00940A24"/>
    <w:rsid w:val="00942389"/>
    <w:rsid w:val="00951E48"/>
    <w:rsid w:val="00956898"/>
    <w:rsid w:val="0097208C"/>
    <w:rsid w:val="0097322F"/>
    <w:rsid w:val="00986BAE"/>
    <w:rsid w:val="009927FD"/>
    <w:rsid w:val="00992C2D"/>
    <w:rsid w:val="009A2A9D"/>
    <w:rsid w:val="009B6A87"/>
    <w:rsid w:val="009C4F1E"/>
    <w:rsid w:val="009D0BB6"/>
    <w:rsid w:val="009E3F4E"/>
    <w:rsid w:val="009E4D51"/>
    <w:rsid w:val="009F25FA"/>
    <w:rsid w:val="00A02345"/>
    <w:rsid w:val="00A03DF2"/>
    <w:rsid w:val="00A32DD7"/>
    <w:rsid w:val="00A44995"/>
    <w:rsid w:val="00A45DCD"/>
    <w:rsid w:val="00A669C0"/>
    <w:rsid w:val="00A706DA"/>
    <w:rsid w:val="00A7299C"/>
    <w:rsid w:val="00A72F47"/>
    <w:rsid w:val="00AA63C4"/>
    <w:rsid w:val="00AA6B7E"/>
    <w:rsid w:val="00AA7851"/>
    <w:rsid w:val="00AB49C1"/>
    <w:rsid w:val="00AD3308"/>
    <w:rsid w:val="00AE0DD1"/>
    <w:rsid w:val="00AE373D"/>
    <w:rsid w:val="00B01671"/>
    <w:rsid w:val="00B0185E"/>
    <w:rsid w:val="00B06298"/>
    <w:rsid w:val="00B13B87"/>
    <w:rsid w:val="00B14D1E"/>
    <w:rsid w:val="00B15304"/>
    <w:rsid w:val="00B2203A"/>
    <w:rsid w:val="00B22F85"/>
    <w:rsid w:val="00B27205"/>
    <w:rsid w:val="00B50C99"/>
    <w:rsid w:val="00B67CFA"/>
    <w:rsid w:val="00B70C78"/>
    <w:rsid w:val="00B80869"/>
    <w:rsid w:val="00B83480"/>
    <w:rsid w:val="00B863E8"/>
    <w:rsid w:val="00B94098"/>
    <w:rsid w:val="00BA4B41"/>
    <w:rsid w:val="00BD0B65"/>
    <w:rsid w:val="00BD5BA4"/>
    <w:rsid w:val="00BE71CB"/>
    <w:rsid w:val="00BF3A68"/>
    <w:rsid w:val="00C01085"/>
    <w:rsid w:val="00C011B1"/>
    <w:rsid w:val="00C02D9D"/>
    <w:rsid w:val="00C11691"/>
    <w:rsid w:val="00C23700"/>
    <w:rsid w:val="00C251C5"/>
    <w:rsid w:val="00C2706D"/>
    <w:rsid w:val="00C377AD"/>
    <w:rsid w:val="00C42D74"/>
    <w:rsid w:val="00C47071"/>
    <w:rsid w:val="00C6247D"/>
    <w:rsid w:val="00C73D56"/>
    <w:rsid w:val="00C74912"/>
    <w:rsid w:val="00C76348"/>
    <w:rsid w:val="00C76A4E"/>
    <w:rsid w:val="00C8441A"/>
    <w:rsid w:val="00C93DC0"/>
    <w:rsid w:val="00C9545F"/>
    <w:rsid w:val="00C974CE"/>
    <w:rsid w:val="00CA176E"/>
    <w:rsid w:val="00CA285E"/>
    <w:rsid w:val="00CA3B1E"/>
    <w:rsid w:val="00CA7A02"/>
    <w:rsid w:val="00CB0CD2"/>
    <w:rsid w:val="00CB20EE"/>
    <w:rsid w:val="00CB7AA8"/>
    <w:rsid w:val="00CC3822"/>
    <w:rsid w:val="00CD23B7"/>
    <w:rsid w:val="00CD2E38"/>
    <w:rsid w:val="00CD48FA"/>
    <w:rsid w:val="00CF73CA"/>
    <w:rsid w:val="00D009F9"/>
    <w:rsid w:val="00D11671"/>
    <w:rsid w:val="00D226A2"/>
    <w:rsid w:val="00D338E6"/>
    <w:rsid w:val="00D36884"/>
    <w:rsid w:val="00D45851"/>
    <w:rsid w:val="00D464A3"/>
    <w:rsid w:val="00D628DA"/>
    <w:rsid w:val="00D70ABF"/>
    <w:rsid w:val="00D73CFF"/>
    <w:rsid w:val="00D832E1"/>
    <w:rsid w:val="00D946C3"/>
    <w:rsid w:val="00D9671E"/>
    <w:rsid w:val="00DA0F61"/>
    <w:rsid w:val="00DB76D3"/>
    <w:rsid w:val="00DD0F58"/>
    <w:rsid w:val="00DD3DBC"/>
    <w:rsid w:val="00DD671F"/>
    <w:rsid w:val="00DF2BD0"/>
    <w:rsid w:val="00DF47BF"/>
    <w:rsid w:val="00E0299A"/>
    <w:rsid w:val="00E11D54"/>
    <w:rsid w:val="00E145C5"/>
    <w:rsid w:val="00E3418E"/>
    <w:rsid w:val="00E37C94"/>
    <w:rsid w:val="00E50DB3"/>
    <w:rsid w:val="00E5454C"/>
    <w:rsid w:val="00E61A5C"/>
    <w:rsid w:val="00E82BAD"/>
    <w:rsid w:val="00E917EF"/>
    <w:rsid w:val="00E93D0A"/>
    <w:rsid w:val="00E966B9"/>
    <w:rsid w:val="00EB4E3F"/>
    <w:rsid w:val="00EB5DE0"/>
    <w:rsid w:val="00EC1621"/>
    <w:rsid w:val="00EE17A1"/>
    <w:rsid w:val="00EE1D12"/>
    <w:rsid w:val="00EE7765"/>
    <w:rsid w:val="00F066A3"/>
    <w:rsid w:val="00F0778B"/>
    <w:rsid w:val="00F23500"/>
    <w:rsid w:val="00F243D9"/>
    <w:rsid w:val="00F3214D"/>
    <w:rsid w:val="00F32FFB"/>
    <w:rsid w:val="00F35E95"/>
    <w:rsid w:val="00F446A0"/>
    <w:rsid w:val="00F46177"/>
    <w:rsid w:val="00F4DCDA"/>
    <w:rsid w:val="00F570DB"/>
    <w:rsid w:val="00F75698"/>
    <w:rsid w:val="00F75D55"/>
    <w:rsid w:val="00F81DD1"/>
    <w:rsid w:val="00F835F2"/>
    <w:rsid w:val="00F84BF1"/>
    <w:rsid w:val="00F86262"/>
    <w:rsid w:val="00FA0837"/>
    <w:rsid w:val="00FA14F1"/>
    <w:rsid w:val="00FA1B72"/>
    <w:rsid w:val="00FA7B6B"/>
    <w:rsid w:val="00FB202B"/>
    <w:rsid w:val="00FB384A"/>
    <w:rsid w:val="00FC0ABA"/>
    <w:rsid w:val="00FC3075"/>
    <w:rsid w:val="00FD3C6A"/>
    <w:rsid w:val="00FE722A"/>
    <w:rsid w:val="00FF0C86"/>
    <w:rsid w:val="00FF28D7"/>
    <w:rsid w:val="01194CD5"/>
    <w:rsid w:val="013BD696"/>
    <w:rsid w:val="01457BC6"/>
    <w:rsid w:val="015409BB"/>
    <w:rsid w:val="0156F40D"/>
    <w:rsid w:val="0160B1F7"/>
    <w:rsid w:val="01A190B0"/>
    <w:rsid w:val="01CA6419"/>
    <w:rsid w:val="01D9D287"/>
    <w:rsid w:val="0216E290"/>
    <w:rsid w:val="02511514"/>
    <w:rsid w:val="0253AB98"/>
    <w:rsid w:val="025922E6"/>
    <w:rsid w:val="0285E899"/>
    <w:rsid w:val="029CE2EA"/>
    <w:rsid w:val="02A287E8"/>
    <w:rsid w:val="02CA0036"/>
    <w:rsid w:val="02DAC859"/>
    <w:rsid w:val="02E3C5E7"/>
    <w:rsid w:val="02FDC3C2"/>
    <w:rsid w:val="03152D54"/>
    <w:rsid w:val="031A94C4"/>
    <w:rsid w:val="0327D2A0"/>
    <w:rsid w:val="0351C353"/>
    <w:rsid w:val="035C8C7D"/>
    <w:rsid w:val="03924AFC"/>
    <w:rsid w:val="03E07635"/>
    <w:rsid w:val="03F4DD0D"/>
    <w:rsid w:val="040E93B4"/>
    <w:rsid w:val="04231F06"/>
    <w:rsid w:val="042CA7F1"/>
    <w:rsid w:val="0455E732"/>
    <w:rsid w:val="048044CB"/>
    <w:rsid w:val="049245A9"/>
    <w:rsid w:val="04ADA816"/>
    <w:rsid w:val="04CB1023"/>
    <w:rsid w:val="0501D8C9"/>
    <w:rsid w:val="0509C69F"/>
    <w:rsid w:val="0522B569"/>
    <w:rsid w:val="0541BA9D"/>
    <w:rsid w:val="0570DD95"/>
    <w:rsid w:val="059612E6"/>
    <w:rsid w:val="059E3092"/>
    <w:rsid w:val="05A8108A"/>
    <w:rsid w:val="05B2A55A"/>
    <w:rsid w:val="05B4BA81"/>
    <w:rsid w:val="05D07D17"/>
    <w:rsid w:val="05DAEE6B"/>
    <w:rsid w:val="05DC079D"/>
    <w:rsid w:val="05E2C4DE"/>
    <w:rsid w:val="0626E754"/>
    <w:rsid w:val="062A65E7"/>
    <w:rsid w:val="063CBB62"/>
    <w:rsid w:val="063EA00C"/>
    <w:rsid w:val="0651B25E"/>
    <w:rsid w:val="0654615E"/>
    <w:rsid w:val="06AE402E"/>
    <w:rsid w:val="06B17E80"/>
    <w:rsid w:val="071CA388"/>
    <w:rsid w:val="072E4306"/>
    <w:rsid w:val="07455EB9"/>
    <w:rsid w:val="074BA62A"/>
    <w:rsid w:val="075F4E06"/>
    <w:rsid w:val="079112A9"/>
    <w:rsid w:val="07954FF2"/>
    <w:rsid w:val="07B5E14C"/>
    <w:rsid w:val="07E64DE9"/>
    <w:rsid w:val="07E823D2"/>
    <w:rsid w:val="08044760"/>
    <w:rsid w:val="0820A3F5"/>
    <w:rsid w:val="0821B090"/>
    <w:rsid w:val="085EB582"/>
    <w:rsid w:val="0876379E"/>
    <w:rsid w:val="08871274"/>
    <w:rsid w:val="089E4F1A"/>
    <w:rsid w:val="089FFD4C"/>
    <w:rsid w:val="08D26CD8"/>
    <w:rsid w:val="08F53C52"/>
    <w:rsid w:val="0902016D"/>
    <w:rsid w:val="0904EF2A"/>
    <w:rsid w:val="0907F74F"/>
    <w:rsid w:val="090B9600"/>
    <w:rsid w:val="0916DFDC"/>
    <w:rsid w:val="09597AF6"/>
    <w:rsid w:val="095D5704"/>
    <w:rsid w:val="096F1A86"/>
    <w:rsid w:val="09886410"/>
    <w:rsid w:val="098DA0C1"/>
    <w:rsid w:val="09B4A9B3"/>
    <w:rsid w:val="0A2E8D0D"/>
    <w:rsid w:val="0A3D555A"/>
    <w:rsid w:val="0A7ACFF3"/>
    <w:rsid w:val="0A89D9DF"/>
    <w:rsid w:val="0A93247B"/>
    <w:rsid w:val="0A9AA7A3"/>
    <w:rsid w:val="0AA0B8D2"/>
    <w:rsid w:val="0AEBBA61"/>
    <w:rsid w:val="0AF0046B"/>
    <w:rsid w:val="0AF3DD4F"/>
    <w:rsid w:val="0AF9F325"/>
    <w:rsid w:val="0B44D61D"/>
    <w:rsid w:val="0B4A82E3"/>
    <w:rsid w:val="0B5D975E"/>
    <w:rsid w:val="0B714496"/>
    <w:rsid w:val="0BA21C2D"/>
    <w:rsid w:val="0BD6389E"/>
    <w:rsid w:val="0BDE34F1"/>
    <w:rsid w:val="0C240BB5"/>
    <w:rsid w:val="0C504203"/>
    <w:rsid w:val="0C5090F1"/>
    <w:rsid w:val="0C5E9E4D"/>
    <w:rsid w:val="0C693612"/>
    <w:rsid w:val="0C734CF6"/>
    <w:rsid w:val="0C7D9EDA"/>
    <w:rsid w:val="0C821DB6"/>
    <w:rsid w:val="0CA729A7"/>
    <w:rsid w:val="0CBC57DF"/>
    <w:rsid w:val="0D0FA957"/>
    <w:rsid w:val="0D642DCC"/>
    <w:rsid w:val="0D6BB8ED"/>
    <w:rsid w:val="0DB09E1E"/>
    <w:rsid w:val="0DB996AC"/>
    <w:rsid w:val="0DD783C2"/>
    <w:rsid w:val="0DDA3E81"/>
    <w:rsid w:val="0DE723A6"/>
    <w:rsid w:val="0DEB4601"/>
    <w:rsid w:val="0DEC9D50"/>
    <w:rsid w:val="0E212075"/>
    <w:rsid w:val="0E21BA91"/>
    <w:rsid w:val="0E2B3ECD"/>
    <w:rsid w:val="0E8F55BA"/>
    <w:rsid w:val="0E92F827"/>
    <w:rsid w:val="0EA16540"/>
    <w:rsid w:val="0EA1ED3A"/>
    <w:rsid w:val="0EA40420"/>
    <w:rsid w:val="0EDD4071"/>
    <w:rsid w:val="0EDE4CC9"/>
    <w:rsid w:val="0F15FCA0"/>
    <w:rsid w:val="0F249FF9"/>
    <w:rsid w:val="0F682C01"/>
    <w:rsid w:val="0FA8839A"/>
    <w:rsid w:val="0FD299FC"/>
    <w:rsid w:val="0FD3188B"/>
    <w:rsid w:val="103DD5E1"/>
    <w:rsid w:val="1096F60F"/>
    <w:rsid w:val="10C794AF"/>
    <w:rsid w:val="10E4DA21"/>
    <w:rsid w:val="10F67C0C"/>
    <w:rsid w:val="110A583C"/>
    <w:rsid w:val="114000D1"/>
    <w:rsid w:val="114EF0D1"/>
    <w:rsid w:val="1163410F"/>
    <w:rsid w:val="1173219B"/>
    <w:rsid w:val="119CDB06"/>
    <w:rsid w:val="11D371CB"/>
    <w:rsid w:val="128AD470"/>
    <w:rsid w:val="12A7F1DB"/>
    <w:rsid w:val="12F2B0A5"/>
    <w:rsid w:val="12FE51EE"/>
    <w:rsid w:val="1345898F"/>
    <w:rsid w:val="1349CE14"/>
    <w:rsid w:val="13698233"/>
    <w:rsid w:val="137ADC7B"/>
    <w:rsid w:val="137BD8C7"/>
    <w:rsid w:val="13804F38"/>
    <w:rsid w:val="1390CE3D"/>
    <w:rsid w:val="13A1A5E9"/>
    <w:rsid w:val="14186DA8"/>
    <w:rsid w:val="1418D648"/>
    <w:rsid w:val="142A533E"/>
    <w:rsid w:val="14374AFE"/>
    <w:rsid w:val="143C006D"/>
    <w:rsid w:val="143CEBA3"/>
    <w:rsid w:val="14667E53"/>
    <w:rsid w:val="147B3BA0"/>
    <w:rsid w:val="14CB79E2"/>
    <w:rsid w:val="1506DB3A"/>
    <w:rsid w:val="15112B6A"/>
    <w:rsid w:val="1553EFF0"/>
    <w:rsid w:val="1592BDE6"/>
    <w:rsid w:val="15AF25FC"/>
    <w:rsid w:val="15B0621C"/>
    <w:rsid w:val="15B1C47E"/>
    <w:rsid w:val="15B9D443"/>
    <w:rsid w:val="15BE66C4"/>
    <w:rsid w:val="15D29CDA"/>
    <w:rsid w:val="15DBDF00"/>
    <w:rsid w:val="15E5BC27"/>
    <w:rsid w:val="15F562E1"/>
    <w:rsid w:val="1648F9FD"/>
    <w:rsid w:val="16510D59"/>
    <w:rsid w:val="166ED442"/>
    <w:rsid w:val="16B955D8"/>
    <w:rsid w:val="1722C7C2"/>
    <w:rsid w:val="17442EA9"/>
    <w:rsid w:val="175EB63A"/>
    <w:rsid w:val="1778E819"/>
    <w:rsid w:val="17B9CFE7"/>
    <w:rsid w:val="17CD5AD4"/>
    <w:rsid w:val="17E22DDF"/>
    <w:rsid w:val="181481E1"/>
    <w:rsid w:val="1858DA03"/>
    <w:rsid w:val="18772DAE"/>
    <w:rsid w:val="18813780"/>
    <w:rsid w:val="1884AE8A"/>
    <w:rsid w:val="18ED7464"/>
    <w:rsid w:val="19083B76"/>
    <w:rsid w:val="1925C29B"/>
    <w:rsid w:val="1937B150"/>
    <w:rsid w:val="19492289"/>
    <w:rsid w:val="19870780"/>
    <w:rsid w:val="19876C6A"/>
    <w:rsid w:val="19B6850B"/>
    <w:rsid w:val="19BD46F2"/>
    <w:rsid w:val="19D75B2D"/>
    <w:rsid w:val="19DCB04A"/>
    <w:rsid w:val="1A09ECAF"/>
    <w:rsid w:val="1A5A6F42"/>
    <w:rsid w:val="1A615314"/>
    <w:rsid w:val="1AA54376"/>
    <w:rsid w:val="1ABA379B"/>
    <w:rsid w:val="1ABC9A77"/>
    <w:rsid w:val="1ADFB3AC"/>
    <w:rsid w:val="1AE32A99"/>
    <w:rsid w:val="1B2918AF"/>
    <w:rsid w:val="1B29D4D2"/>
    <w:rsid w:val="1B2D6AA9"/>
    <w:rsid w:val="1B435932"/>
    <w:rsid w:val="1B57D5D7"/>
    <w:rsid w:val="1B6E80A0"/>
    <w:rsid w:val="1C259256"/>
    <w:rsid w:val="1C68BE9C"/>
    <w:rsid w:val="1C83BCBA"/>
    <w:rsid w:val="1C868675"/>
    <w:rsid w:val="1C93843D"/>
    <w:rsid w:val="1C9E9A86"/>
    <w:rsid w:val="1CA0320F"/>
    <w:rsid w:val="1CFD8B9D"/>
    <w:rsid w:val="1D7D02BD"/>
    <w:rsid w:val="1DFC466C"/>
    <w:rsid w:val="1E5A74A3"/>
    <w:rsid w:val="1E68BFF1"/>
    <w:rsid w:val="1E69CDE4"/>
    <w:rsid w:val="1E778072"/>
    <w:rsid w:val="1E99B789"/>
    <w:rsid w:val="1EC167A6"/>
    <w:rsid w:val="1EDFFA38"/>
    <w:rsid w:val="1EFDBF8F"/>
    <w:rsid w:val="1F7F190A"/>
    <w:rsid w:val="1FC728EF"/>
    <w:rsid w:val="1FE3F5AB"/>
    <w:rsid w:val="200B5E45"/>
    <w:rsid w:val="2015AACE"/>
    <w:rsid w:val="2020466C"/>
    <w:rsid w:val="20494CD9"/>
    <w:rsid w:val="20566492"/>
    <w:rsid w:val="205B7B3E"/>
    <w:rsid w:val="2077C692"/>
    <w:rsid w:val="20A51CFF"/>
    <w:rsid w:val="20D7FDD4"/>
    <w:rsid w:val="20E1ABF2"/>
    <w:rsid w:val="20F1C3B2"/>
    <w:rsid w:val="21419647"/>
    <w:rsid w:val="214383A1"/>
    <w:rsid w:val="21802E8D"/>
    <w:rsid w:val="21CA384E"/>
    <w:rsid w:val="21CAC2B7"/>
    <w:rsid w:val="21DD60D8"/>
    <w:rsid w:val="221A25CA"/>
    <w:rsid w:val="22356489"/>
    <w:rsid w:val="22673BFC"/>
    <w:rsid w:val="22C4BEA9"/>
    <w:rsid w:val="22C7EB8E"/>
    <w:rsid w:val="22E57874"/>
    <w:rsid w:val="23123A8C"/>
    <w:rsid w:val="237B658C"/>
    <w:rsid w:val="2383975A"/>
    <w:rsid w:val="2385E15C"/>
    <w:rsid w:val="23A90275"/>
    <w:rsid w:val="23ED7618"/>
    <w:rsid w:val="23FEF0AC"/>
    <w:rsid w:val="2411C639"/>
    <w:rsid w:val="241344A7"/>
    <w:rsid w:val="2435B8CF"/>
    <w:rsid w:val="247696C3"/>
    <w:rsid w:val="24861B4C"/>
    <w:rsid w:val="24A9B139"/>
    <w:rsid w:val="24C3C61D"/>
    <w:rsid w:val="24E361A4"/>
    <w:rsid w:val="24F5AA7A"/>
    <w:rsid w:val="24FCFB9A"/>
    <w:rsid w:val="25400FD4"/>
    <w:rsid w:val="254C4663"/>
    <w:rsid w:val="2555EABB"/>
    <w:rsid w:val="2565A070"/>
    <w:rsid w:val="25807BA8"/>
    <w:rsid w:val="2599B2E4"/>
    <w:rsid w:val="2634E84C"/>
    <w:rsid w:val="263A01DC"/>
    <w:rsid w:val="265B1006"/>
    <w:rsid w:val="265BF5D0"/>
    <w:rsid w:val="265E23F4"/>
    <w:rsid w:val="267D2644"/>
    <w:rsid w:val="2696CA94"/>
    <w:rsid w:val="26B0D972"/>
    <w:rsid w:val="26BE44EA"/>
    <w:rsid w:val="26BE458C"/>
    <w:rsid w:val="26E4010D"/>
    <w:rsid w:val="26E64650"/>
    <w:rsid w:val="271472D4"/>
    <w:rsid w:val="275D657F"/>
    <w:rsid w:val="2766299E"/>
    <w:rsid w:val="276D2E33"/>
    <w:rsid w:val="27867365"/>
    <w:rsid w:val="27942804"/>
    <w:rsid w:val="279B3569"/>
    <w:rsid w:val="27B21B67"/>
    <w:rsid w:val="27BE8C25"/>
    <w:rsid w:val="27E4F7AA"/>
    <w:rsid w:val="27EFB2D7"/>
    <w:rsid w:val="27F1DD02"/>
    <w:rsid w:val="28424E45"/>
    <w:rsid w:val="287B506E"/>
    <w:rsid w:val="2896B36B"/>
    <w:rsid w:val="28B09602"/>
    <w:rsid w:val="28B416E3"/>
    <w:rsid w:val="28CF659E"/>
    <w:rsid w:val="28FD8D76"/>
    <w:rsid w:val="29077337"/>
    <w:rsid w:val="29105BFA"/>
    <w:rsid w:val="291D1BE9"/>
    <w:rsid w:val="2940D022"/>
    <w:rsid w:val="2952C068"/>
    <w:rsid w:val="298B61DE"/>
    <w:rsid w:val="299457D9"/>
    <w:rsid w:val="29DBCA21"/>
    <w:rsid w:val="29E1EB14"/>
    <w:rsid w:val="29E37323"/>
    <w:rsid w:val="29F624C6"/>
    <w:rsid w:val="2A01D797"/>
    <w:rsid w:val="2A168B55"/>
    <w:rsid w:val="2A35857B"/>
    <w:rsid w:val="2A467D90"/>
    <w:rsid w:val="2A5293C2"/>
    <w:rsid w:val="2A5A4F9F"/>
    <w:rsid w:val="2A6BA4B3"/>
    <w:rsid w:val="2A6E424A"/>
    <w:rsid w:val="2A7544FD"/>
    <w:rsid w:val="2A79999A"/>
    <w:rsid w:val="2ACE2676"/>
    <w:rsid w:val="2B4BE2E5"/>
    <w:rsid w:val="2B7A4D04"/>
    <w:rsid w:val="2BA458DD"/>
    <w:rsid w:val="2BA7B8F6"/>
    <w:rsid w:val="2BB62911"/>
    <w:rsid w:val="2BD622E2"/>
    <w:rsid w:val="2C01140A"/>
    <w:rsid w:val="2C110711"/>
    <w:rsid w:val="2C13AC6F"/>
    <w:rsid w:val="2C1CFA4F"/>
    <w:rsid w:val="2C686E29"/>
    <w:rsid w:val="2C7BF736"/>
    <w:rsid w:val="2CA3D159"/>
    <w:rsid w:val="2CB78373"/>
    <w:rsid w:val="2CE8AE9C"/>
    <w:rsid w:val="2D26CF35"/>
    <w:rsid w:val="2D2EA8EA"/>
    <w:rsid w:val="2D4C0214"/>
    <w:rsid w:val="2D5D6601"/>
    <w:rsid w:val="2D7BACB3"/>
    <w:rsid w:val="2DB5DBD1"/>
    <w:rsid w:val="2E101B3D"/>
    <w:rsid w:val="2E3D9271"/>
    <w:rsid w:val="2E459E43"/>
    <w:rsid w:val="2E50029A"/>
    <w:rsid w:val="2E744577"/>
    <w:rsid w:val="2E7B2795"/>
    <w:rsid w:val="2E847E61"/>
    <w:rsid w:val="2E8CFE8A"/>
    <w:rsid w:val="2EC82B7B"/>
    <w:rsid w:val="2EF79DCC"/>
    <w:rsid w:val="2F191DEF"/>
    <w:rsid w:val="2F1ABBD8"/>
    <w:rsid w:val="2F28C591"/>
    <w:rsid w:val="2F705A6D"/>
    <w:rsid w:val="2F768F3F"/>
    <w:rsid w:val="2FFAD4EE"/>
    <w:rsid w:val="2FFC2AC7"/>
    <w:rsid w:val="30269CF1"/>
    <w:rsid w:val="302FAE9D"/>
    <w:rsid w:val="30601627"/>
    <w:rsid w:val="3073EE11"/>
    <w:rsid w:val="3075D17F"/>
    <w:rsid w:val="30804F28"/>
    <w:rsid w:val="308B46F6"/>
    <w:rsid w:val="30A56CB9"/>
    <w:rsid w:val="31290A50"/>
    <w:rsid w:val="31539CBF"/>
    <w:rsid w:val="31709584"/>
    <w:rsid w:val="31B284C0"/>
    <w:rsid w:val="31BD29FE"/>
    <w:rsid w:val="31D42B93"/>
    <w:rsid w:val="31E90D0E"/>
    <w:rsid w:val="324ABD6E"/>
    <w:rsid w:val="325EA143"/>
    <w:rsid w:val="32678B8F"/>
    <w:rsid w:val="3288B2B2"/>
    <w:rsid w:val="32985C0A"/>
    <w:rsid w:val="32C9A92C"/>
    <w:rsid w:val="32F197B6"/>
    <w:rsid w:val="331D0C52"/>
    <w:rsid w:val="33443D1A"/>
    <w:rsid w:val="334E0209"/>
    <w:rsid w:val="3399B209"/>
    <w:rsid w:val="33D17BFB"/>
    <w:rsid w:val="33D79639"/>
    <w:rsid w:val="33DCE75D"/>
    <w:rsid w:val="340AE2BE"/>
    <w:rsid w:val="345DDAD0"/>
    <w:rsid w:val="3466CDBB"/>
    <w:rsid w:val="347C94EA"/>
    <w:rsid w:val="34AF34E8"/>
    <w:rsid w:val="34F9BD73"/>
    <w:rsid w:val="3506A2E6"/>
    <w:rsid w:val="352CCB4A"/>
    <w:rsid w:val="352E8115"/>
    <w:rsid w:val="3548E8BD"/>
    <w:rsid w:val="359F69DA"/>
    <w:rsid w:val="35ADACBE"/>
    <w:rsid w:val="35BC9AA2"/>
    <w:rsid w:val="35BDFD93"/>
    <w:rsid w:val="35EE5B45"/>
    <w:rsid w:val="360CE28B"/>
    <w:rsid w:val="361C6A70"/>
    <w:rsid w:val="3650867B"/>
    <w:rsid w:val="365CEDD2"/>
    <w:rsid w:val="3688147E"/>
    <w:rsid w:val="36949299"/>
    <w:rsid w:val="3695E4DA"/>
    <w:rsid w:val="36D931FC"/>
    <w:rsid w:val="37152379"/>
    <w:rsid w:val="371E9CA4"/>
    <w:rsid w:val="3736CED8"/>
    <w:rsid w:val="373A4272"/>
    <w:rsid w:val="373FDA55"/>
    <w:rsid w:val="37690C1F"/>
    <w:rsid w:val="376D68FB"/>
    <w:rsid w:val="37A4FD1F"/>
    <w:rsid w:val="37E21559"/>
    <w:rsid w:val="37E69B4D"/>
    <w:rsid w:val="37EF46D1"/>
    <w:rsid w:val="3806344C"/>
    <w:rsid w:val="3810138C"/>
    <w:rsid w:val="381E5049"/>
    <w:rsid w:val="38334E2D"/>
    <w:rsid w:val="383A32C3"/>
    <w:rsid w:val="3849BB87"/>
    <w:rsid w:val="389AF658"/>
    <w:rsid w:val="38B9EFE1"/>
    <w:rsid w:val="38CBE887"/>
    <w:rsid w:val="38DFE296"/>
    <w:rsid w:val="38FB787E"/>
    <w:rsid w:val="39110FEE"/>
    <w:rsid w:val="39447DF7"/>
    <w:rsid w:val="397D069C"/>
    <w:rsid w:val="39845EED"/>
    <w:rsid w:val="398C1BE7"/>
    <w:rsid w:val="399D9CBD"/>
    <w:rsid w:val="39AB5B99"/>
    <w:rsid w:val="39CAB45C"/>
    <w:rsid w:val="39E56CE9"/>
    <w:rsid w:val="39F17EE0"/>
    <w:rsid w:val="3A0FA0F7"/>
    <w:rsid w:val="3A66146D"/>
    <w:rsid w:val="3A9236AC"/>
    <w:rsid w:val="3A9E1AD5"/>
    <w:rsid w:val="3AB28528"/>
    <w:rsid w:val="3ADED88A"/>
    <w:rsid w:val="3AE0C422"/>
    <w:rsid w:val="3AE4EDB0"/>
    <w:rsid w:val="3AF5874E"/>
    <w:rsid w:val="3B03DBE9"/>
    <w:rsid w:val="3B2A3E0F"/>
    <w:rsid w:val="3B3B38FF"/>
    <w:rsid w:val="3B4267B9"/>
    <w:rsid w:val="3BA592B6"/>
    <w:rsid w:val="3BD3559F"/>
    <w:rsid w:val="3BEBCC74"/>
    <w:rsid w:val="3BF797DB"/>
    <w:rsid w:val="3C3ADFD0"/>
    <w:rsid w:val="3CAFD116"/>
    <w:rsid w:val="3CD43A38"/>
    <w:rsid w:val="3CE17B39"/>
    <w:rsid w:val="3D2E9F25"/>
    <w:rsid w:val="3D8524F1"/>
    <w:rsid w:val="3D91F7C6"/>
    <w:rsid w:val="3DAA9973"/>
    <w:rsid w:val="3DCA4FA2"/>
    <w:rsid w:val="3DD01B9D"/>
    <w:rsid w:val="3DDF79AE"/>
    <w:rsid w:val="3E0B17C5"/>
    <w:rsid w:val="3E5241B7"/>
    <w:rsid w:val="3E684D6D"/>
    <w:rsid w:val="3EE6FB84"/>
    <w:rsid w:val="3EF3D084"/>
    <w:rsid w:val="3F28CDFA"/>
    <w:rsid w:val="3F2DA443"/>
    <w:rsid w:val="3F7D12E0"/>
    <w:rsid w:val="3F80D35E"/>
    <w:rsid w:val="3F867834"/>
    <w:rsid w:val="3F9575F3"/>
    <w:rsid w:val="3FBBCBC0"/>
    <w:rsid w:val="3FD0831A"/>
    <w:rsid w:val="3FEAD34E"/>
    <w:rsid w:val="40167F3F"/>
    <w:rsid w:val="404A843A"/>
    <w:rsid w:val="404C99E5"/>
    <w:rsid w:val="40900E39"/>
    <w:rsid w:val="40EFF9FB"/>
    <w:rsid w:val="418D5C4A"/>
    <w:rsid w:val="41988249"/>
    <w:rsid w:val="419CF397"/>
    <w:rsid w:val="41AC7F2C"/>
    <w:rsid w:val="41CE31AE"/>
    <w:rsid w:val="420D0A8F"/>
    <w:rsid w:val="420EC5EC"/>
    <w:rsid w:val="426AE9F7"/>
    <w:rsid w:val="426BDEFA"/>
    <w:rsid w:val="4292C4DC"/>
    <w:rsid w:val="42B33475"/>
    <w:rsid w:val="42EDDBDD"/>
    <w:rsid w:val="42FDEDCA"/>
    <w:rsid w:val="430038E6"/>
    <w:rsid w:val="43300D60"/>
    <w:rsid w:val="43318891"/>
    <w:rsid w:val="433580AA"/>
    <w:rsid w:val="433B7BCE"/>
    <w:rsid w:val="435C6BB1"/>
    <w:rsid w:val="43B27CB0"/>
    <w:rsid w:val="43C44EA9"/>
    <w:rsid w:val="4402EE7F"/>
    <w:rsid w:val="4415C0CE"/>
    <w:rsid w:val="443303E5"/>
    <w:rsid w:val="44581857"/>
    <w:rsid w:val="446018F8"/>
    <w:rsid w:val="447BF4BC"/>
    <w:rsid w:val="44AB653E"/>
    <w:rsid w:val="44B5AFC2"/>
    <w:rsid w:val="44C7C896"/>
    <w:rsid w:val="44D19A8B"/>
    <w:rsid w:val="4514A9B2"/>
    <w:rsid w:val="45376E9B"/>
    <w:rsid w:val="454DA5CF"/>
    <w:rsid w:val="45540907"/>
    <w:rsid w:val="459A5F14"/>
    <w:rsid w:val="459BD926"/>
    <w:rsid w:val="45C7BA1B"/>
    <w:rsid w:val="45CF584B"/>
    <w:rsid w:val="45F526B9"/>
    <w:rsid w:val="45FF4895"/>
    <w:rsid w:val="46076BA0"/>
    <w:rsid w:val="465ECBE1"/>
    <w:rsid w:val="46626777"/>
    <w:rsid w:val="467BA212"/>
    <w:rsid w:val="46800641"/>
    <w:rsid w:val="4689DEBA"/>
    <w:rsid w:val="46D4D6A9"/>
    <w:rsid w:val="46E203D8"/>
    <w:rsid w:val="46FEA4ED"/>
    <w:rsid w:val="4716CED5"/>
    <w:rsid w:val="472253F9"/>
    <w:rsid w:val="473400F1"/>
    <w:rsid w:val="475612E2"/>
    <w:rsid w:val="475BE074"/>
    <w:rsid w:val="47912871"/>
    <w:rsid w:val="479AF242"/>
    <w:rsid w:val="47B9F03D"/>
    <w:rsid w:val="47C70AD8"/>
    <w:rsid w:val="4803FC83"/>
    <w:rsid w:val="48337EA0"/>
    <w:rsid w:val="4841CFF2"/>
    <w:rsid w:val="488D51DD"/>
    <w:rsid w:val="4893C2FC"/>
    <w:rsid w:val="48A9F2C8"/>
    <w:rsid w:val="48ECC95C"/>
    <w:rsid w:val="48EEFF2A"/>
    <w:rsid w:val="49147941"/>
    <w:rsid w:val="496418C7"/>
    <w:rsid w:val="49662AC7"/>
    <w:rsid w:val="49DA82B4"/>
    <w:rsid w:val="49E50D25"/>
    <w:rsid w:val="49E9F2EF"/>
    <w:rsid w:val="49F503DD"/>
    <w:rsid w:val="4A1C723F"/>
    <w:rsid w:val="4A34C6B4"/>
    <w:rsid w:val="4A429785"/>
    <w:rsid w:val="4A44CA48"/>
    <w:rsid w:val="4A514351"/>
    <w:rsid w:val="4AC27619"/>
    <w:rsid w:val="4AD54DA3"/>
    <w:rsid w:val="4AEA92FB"/>
    <w:rsid w:val="4AF13468"/>
    <w:rsid w:val="4AFA2FE9"/>
    <w:rsid w:val="4B06B673"/>
    <w:rsid w:val="4BBE3D8A"/>
    <w:rsid w:val="4BC53207"/>
    <w:rsid w:val="4BCA9F5B"/>
    <w:rsid w:val="4BD9BA14"/>
    <w:rsid w:val="4C0FCD6A"/>
    <w:rsid w:val="4C11FE26"/>
    <w:rsid w:val="4C2B0FB2"/>
    <w:rsid w:val="4C46BA65"/>
    <w:rsid w:val="4C5ED936"/>
    <w:rsid w:val="4C6D4CAF"/>
    <w:rsid w:val="4C6DBE35"/>
    <w:rsid w:val="4CB61B13"/>
    <w:rsid w:val="4CB65EED"/>
    <w:rsid w:val="4CBC7076"/>
    <w:rsid w:val="4CCF95E1"/>
    <w:rsid w:val="4CF07193"/>
    <w:rsid w:val="4CFC2C45"/>
    <w:rsid w:val="4D0EF276"/>
    <w:rsid w:val="4D65C0A2"/>
    <w:rsid w:val="4D97EFC6"/>
    <w:rsid w:val="4DA4D5A1"/>
    <w:rsid w:val="4DD8E6C6"/>
    <w:rsid w:val="4DF68B0B"/>
    <w:rsid w:val="4E335AD7"/>
    <w:rsid w:val="4E42CE2F"/>
    <w:rsid w:val="4E52C179"/>
    <w:rsid w:val="4EB4DB65"/>
    <w:rsid w:val="4EBEA1B7"/>
    <w:rsid w:val="4EE392A1"/>
    <w:rsid w:val="4EF1F854"/>
    <w:rsid w:val="4EF43716"/>
    <w:rsid w:val="4EF949F3"/>
    <w:rsid w:val="4F0EF991"/>
    <w:rsid w:val="4F62B581"/>
    <w:rsid w:val="4F67A8DA"/>
    <w:rsid w:val="4F67CF12"/>
    <w:rsid w:val="4F9A8300"/>
    <w:rsid w:val="4FBAC6B4"/>
    <w:rsid w:val="4FDE9A17"/>
    <w:rsid w:val="4FE76153"/>
    <w:rsid w:val="4FF5439D"/>
    <w:rsid w:val="501D3AD6"/>
    <w:rsid w:val="502306C7"/>
    <w:rsid w:val="502932A8"/>
    <w:rsid w:val="5042538B"/>
    <w:rsid w:val="5088EEAE"/>
    <w:rsid w:val="508E1ABF"/>
    <w:rsid w:val="5098E9CE"/>
    <w:rsid w:val="50C31697"/>
    <w:rsid w:val="50CFA6F6"/>
    <w:rsid w:val="510955D6"/>
    <w:rsid w:val="5125FCEE"/>
    <w:rsid w:val="51621107"/>
    <w:rsid w:val="51627A13"/>
    <w:rsid w:val="5182A204"/>
    <w:rsid w:val="51F231F0"/>
    <w:rsid w:val="5260C0E8"/>
    <w:rsid w:val="52687B31"/>
    <w:rsid w:val="52BC7630"/>
    <w:rsid w:val="5346FAF7"/>
    <w:rsid w:val="535DC0E1"/>
    <w:rsid w:val="536C86A4"/>
    <w:rsid w:val="536CEA98"/>
    <w:rsid w:val="53743BF3"/>
    <w:rsid w:val="53E56367"/>
    <w:rsid w:val="541CF57A"/>
    <w:rsid w:val="541EA5AB"/>
    <w:rsid w:val="543411B3"/>
    <w:rsid w:val="5484F74F"/>
    <w:rsid w:val="54887F5E"/>
    <w:rsid w:val="54A401E9"/>
    <w:rsid w:val="54A69BD5"/>
    <w:rsid w:val="54D67331"/>
    <w:rsid w:val="54E49105"/>
    <w:rsid w:val="54F171A1"/>
    <w:rsid w:val="54FD5789"/>
    <w:rsid w:val="55470FB5"/>
    <w:rsid w:val="55742D34"/>
    <w:rsid w:val="557CEDA7"/>
    <w:rsid w:val="55E8FE58"/>
    <w:rsid w:val="5606E3F7"/>
    <w:rsid w:val="56116CF7"/>
    <w:rsid w:val="56401D02"/>
    <w:rsid w:val="565E5C19"/>
    <w:rsid w:val="56604BC4"/>
    <w:rsid w:val="569D7F81"/>
    <w:rsid w:val="56A42CC7"/>
    <w:rsid w:val="56AAA513"/>
    <w:rsid w:val="56AFB45C"/>
    <w:rsid w:val="56E32A46"/>
    <w:rsid w:val="56ED8035"/>
    <w:rsid w:val="57760C0A"/>
    <w:rsid w:val="5782C2C7"/>
    <w:rsid w:val="57917962"/>
    <w:rsid w:val="57B8E943"/>
    <w:rsid w:val="57E46F4B"/>
    <w:rsid w:val="57F69D28"/>
    <w:rsid w:val="5817A67F"/>
    <w:rsid w:val="581FF06D"/>
    <w:rsid w:val="58276F61"/>
    <w:rsid w:val="584532A0"/>
    <w:rsid w:val="584DAB98"/>
    <w:rsid w:val="585BDDBD"/>
    <w:rsid w:val="5884EC9B"/>
    <w:rsid w:val="58878E00"/>
    <w:rsid w:val="58909650"/>
    <w:rsid w:val="58983743"/>
    <w:rsid w:val="5958385A"/>
    <w:rsid w:val="595C67E6"/>
    <w:rsid w:val="59965110"/>
    <w:rsid w:val="59CE77D8"/>
    <w:rsid w:val="59DBEFA9"/>
    <w:rsid w:val="5A31BCC3"/>
    <w:rsid w:val="5AC3C963"/>
    <w:rsid w:val="5ACFC9D6"/>
    <w:rsid w:val="5AE918CB"/>
    <w:rsid w:val="5B00F40E"/>
    <w:rsid w:val="5B208B0B"/>
    <w:rsid w:val="5B2EF050"/>
    <w:rsid w:val="5B5C4D19"/>
    <w:rsid w:val="5B5CCBEF"/>
    <w:rsid w:val="5B60DB48"/>
    <w:rsid w:val="5B7AFB48"/>
    <w:rsid w:val="5B8B5167"/>
    <w:rsid w:val="5B9EAFCC"/>
    <w:rsid w:val="5BF4F0B0"/>
    <w:rsid w:val="5C3AD70B"/>
    <w:rsid w:val="5C83D364"/>
    <w:rsid w:val="5CC18083"/>
    <w:rsid w:val="5CDF06A5"/>
    <w:rsid w:val="5CE5BCCF"/>
    <w:rsid w:val="5D083AB9"/>
    <w:rsid w:val="5D1BBFE7"/>
    <w:rsid w:val="5D312459"/>
    <w:rsid w:val="5D42D063"/>
    <w:rsid w:val="5D821098"/>
    <w:rsid w:val="5D869F05"/>
    <w:rsid w:val="5DB9E912"/>
    <w:rsid w:val="5DD516C6"/>
    <w:rsid w:val="5DE05C1E"/>
    <w:rsid w:val="5DEBD38C"/>
    <w:rsid w:val="5DEFAC3E"/>
    <w:rsid w:val="5E0B6EA7"/>
    <w:rsid w:val="5E1D6385"/>
    <w:rsid w:val="5E790285"/>
    <w:rsid w:val="5E823793"/>
    <w:rsid w:val="5E9F8777"/>
    <w:rsid w:val="5EA09B20"/>
    <w:rsid w:val="5EAABA44"/>
    <w:rsid w:val="5EB01585"/>
    <w:rsid w:val="5EB4A85B"/>
    <w:rsid w:val="5EC0B9BE"/>
    <w:rsid w:val="5EC95B50"/>
    <w:rsid w:val="5F4763E5"/>
    <w:rsid w:val="5F5BA7F5"/>
    <w:rsid w:val="5F616BD5"/>
    <w:rsid w:val="5F620440"/>
    <w:rsid w:val="5FB9F9F9"/>
    <w:rsid w:val="5FCB50AD"/>
    <w:rsid w:val="5FE7C5C2"/>
    <w:rsid w:val="60018E8A"/>
    <w:rsid w:val="600375F8"/>
    <w:rsid w:val="6018A6E9"/>
    <w:rsid w:val="60517319"/>
    <w:rsid w:val="6083BC62"/>
    <w:rsid w:val="60880744"/>
    <w:rsid w:val="60A005AE"/>
    <w:rsid w:val="60A8C574"/>
    <w:rsid w:val="61001276"/>
    <w:rsid w:val="61153EFC"/>
    <w:rsid w:val="6137612F"/>
    <w:rsid w:val="6152D078"/>
    <w:rsid w:val="6154F860"/>
    <w:rsid w:val="616E4D87"/>
    <w:rsid w:val="61722B40"/>
    <w:rsid w:val="61918803"/>
    <w:rsid w:val="61A401A4"/>
    <w:rsid w:val="61A5938F"/>
    <w:rsid w:val="61D972D2"/>
    <w:rsid w:val="61E38970"/>
    <w:rsid w:val="61EE3204"/>
    <w:rsid w:val="61F200E0"/>
    <w:rsid w:val="6202AE31"/>
    <w:rsid w:val="62229383"/>
    <w:rsid w:val="625F20F7"/>
    <w:rsid w:val="628988CE"/>
    <w:rsid w:val="62AE1442"/>
    <w:rsid w:val="62AF17B0"/>
    <w:rsid w:val="62C7A1FC"/>
    <w:rsid w:val="6320CC29"/>
    <w:rsid w:val="632592A1"/>
    <w:rsid w:val="63316623"/>
    <w:rsid w:val="633E1EA1"/>
    <w:rsid w:val="6358E626"/>
    <w:rsid w:val="6379EA94"/>
    <w:rsid w:val="63882EB0"/>
    <w:rsid w:val="639B3592"/>
    <w:rsid w:val="63CF6519"/>
    <w:rsid w:val="63D10E38"/>
    <w:rsid w:val="63D36B52"/>
    <w:rsid w:val="63E63280"/>
    <w:rsid w:val="641BCDD6"/>
    <w:rsid w:val="642B6807"/>
    <w:rsid w:val="6447B5C8"/>
    <w:rsid w:val="647083AF"/>
    <w:rsid w:val="64918173"/>
    <w:rsid w:val="64956364"/>
    <w:rsid w:val="64A1AD11"/>
    <w:rsid w:val="64D86ED5"/>
    <w:rsid w:val="64EEA9ED"/>
    <w:rsid w:val="65361891"/>
    <w:rsid w:val="655EE54B"/>
    <w:rsid w:val="655F358F"/>
    <w:rsid w:val="656D60EC"/>
    <w:rsid w:val="6577416E"/>
    <w:rsid w:val="65960F46"/>
    <w:rsid w:val="6597D2B4"/>
    <w:rsid w:val="65BCB06A"/>
    <w:rsid w:val="65BFE72F"/>
    <w:rsid w:val="65C93FD0"/>
    <w:rsid w:val="662D63B6"/>
    <w:rsid w:val="66303681"/>
    <w:rsid w:val="664B981C"/>
    <w:rsid w:val="66643C84"/>
    <w:rsid w:val="667B3A1C"/>
    <w:rsid w:val="668C8C9D"/>
    <w:rsid w:val="669C7AA2"/>
    <w:rsid w:val="66A2D0AA"/>
    <w:rsid w:val="66B15670"/>
    <w:rsid w:val="66D96C5A"/>
    <w:rsid w:val="66FAB710"/>
    <w:rsid w:val="67116370"/>
    <w:rsid w:val="672E85F3"/>
    <w:rsid w:val="6741D31E"/>
    <w:rsid w:val="6742A27D"/>
    <w:rsid w:val="67683D5D"/>
    <w:rsid w:val="6772C980"/>
    <w:rsid w:val="67A137A4"/>
    <w:rsid w:val="67E0BDCD"/>
    <w:rsid w:val="6818D747"/>
    <w:rsid w:val="68401D8C"/>
    <w:rsid w:val="684902CE"/>
    <w:rsid w:val="6888F327"/>
    <w:rsid w:val="68E7A804"/>
    <w:rsid w:val="68F392A3"/>
    <w:rsid w:val="69349C14"/>
    <w:rsid w:val="6942A97B"/>
    <w:rsid w:val="6943779F"/>
    <w:rsid w:val="6950F6B4"/>
    <w:rsid w:val="695BAC9D"/>
    <w:rsid w:val="6989D604"/>
    <w:rsid w:val="69D4F045"/>
    <w:rsid w:val="69E64935"/>
    <w:rsid w:val="6A07D708"/>
    <w:rsid w:val="6A33DC66"/>
    <w:rsid w:val="6AB5D950"/>
    <w:rsid w:val="6ABC30AF"/>
    <w:rsid w:val="6B0968F6"/>
    <w:rsid w:val="6B3948B5"/>
    <w:rsid w:val="6B3BEE11"/>
    <w:rsid w:val="6B8473A2"/>
    <w:rsid w:val="6BD01D7E"/>
    <w:rsid w:val="6BE39AC8"/>
    <w:rsid w:val="6BF5D703"/>
    <w:rsid w:val="6C0BA270"/>
    <w:rsid w:val="6C19C375"/>
    <w:rsid w:val="6C1ECD0D"/>
    <w:rsid w:val="6C26F5CD"/>
    <w:rsid w:val="6C2BE5EE"/>
    <w:rsid w:val="6C943353"/>
    <w:rsid w:val="6CC676FE"/>
    <w:rsid w:val="6CD5F010"/>
    <w:rsid w:val="6CE79CF9"/>
    <w:rsid w:val="6D18353A"/>
    <w:rsid w:val="6D2160CF"/>
    <w:rsid w:val="6D32B14B"/>
    <w:rsid w:val="6D338FB6"/>
    <w:rsid w:val="6D3C8527"/>
    <w:rsid w:val="6D8F793E"/>
    <w:rsid w:val="6DD678AA"/>
    <w:rsid w:val="6E54128B"/>
    <w:rsid w:val="6E9035BC"/>
    <w:rsid w:val="6EAAD63A"/>
    <w:rsid w:val="6EE876F1"/>
    <w:rsid w:val="6F24A960"/>
    <w:rsid w:val="6F5412A3"/>
    <w:rsid w:val="6F628D19"/>
    <w:rsid w:val="6FA40949"/>
    <w:rsid w:val="6FCC7F5D"/>
    <w:rsid w:val="6FFBD35C"/>
    <w:rsid w:val="701D3CA4"/>
    <w:rsid w:val="702DD550"/>
    <w:rsid w:val="704F64B0"/>
    <w:rsid w:val="7081495A"/>
    <w:rsid w:val="7088880B"/>
    <w:rsid w:val="7092A6AE"/>
    <w:rsid w:val="70982C13"/>
    <w:rsid w:val="7099521D"/>
    <w:rsid w:val="70A811FD"/>
    <w:rsid w:val="70C8E859"/>
    <w:rsid w:val="70E8B2C3"/>
    <w:rsid w:val="7121BE77"/>
    <w:rsid w:val="71388A3E"/>
    <w:rsid w:val="7145CCBB"/>
    <w:rsid w:val="71538142"/>
    <w:rsid w:val="717B3D78"/>
    <w:rsid w:val="719E07EB"/>
    <w:rsid w:val="71AD1A11"/>
    <w:rsid w:val="71C64449"/>
    <w:rsid w:val="71CBDA04"/>
    <w:rsid w:val="71E30C99"/>
    <w:rsid w:val="72011206"/>
    <w:rsid w:val="7213A331"/>
    <w:rsid w:val="722577AC"/>
    <w:rsid w:val="724A3002"/>
    <w:rsid w:val="7272D5FC"/>
    <w:rsid w:val="72763EC8"/>
    <w:rsid w:val="73048C0D"/>
    <w:rsid w:val="73218F1D"/>
    <w:rsid w:val="7326D38F"/>
    <w:rsid w:val="735ECFC4"/>
    <w:rsid w:val="7385227D"/>
    <w:rsid w:val="73B59D38"/>
    <w:rsid w:val="74547A25"/>
    <w:rsid w:val="746B130D"/>
    <w:rsid w:val="748E3915"/>
    <w:rsid w:val="749049B1"/>
    <w:rsid w:val="74909C38"/>
    <w:rsid w:val="74F69614"/>
    <w:rsid w:val="750E8450"/>
    <w:rsid w:val="7516CED7"/>
    <w:rsid w:val="751A7348"/>
    <w:rsid w:val="754544E9"/>
    <w:rsid w:val="755D4336"/>
    <w:rsid w:val="7563F925"/>
    <w:rsid w:val="75739806"/>
    <w:rsid w:val="759E78F0"/>
    <w:rsid w:val="75C0425D"/>
    <w:rsid w:val="75C0F186"/>
    <w:rsid w:val="75CF5D8F"/>
    <w:rsid w:val="75DBB823"/>
    <w:rsid w:val="75DC701D"/>
    <w:rsid w:val="75E1E61A"/>
    <w:rsid w:val="75F53955"/>
    <w:rsid w:val="76178551"/>
    <w:rsid w:val="762581F6"/>
    <w:rsid w:val="7628E23A"/>
    <w:rsid w:val="767C4054"/>
    <w:rsid w:val="772378C6"/>
    <w:rsid w:val="775801F5"/>
    <w:rsid w:val="7761DBA3"/>
    <w:rsid w:val="7766ADE7"/>
    <w:rsid w:val="776D2B73"/>
    <w:rsid w:val="777B77F1"/>
    <w:rsid w:val="77AACA92"/>
    <w:rsid w:val="77E965AC"/>
    <w:rsid w:val="7813C1C3"/>
    <w:rsid w:val="7834D981"/>
    <w:rsid w:val="783D493F"/>
    <w:rsid w:val="78519F91"/>
    <w:rsid w:val="7864C71C"/>
    <w:rsid w:val="7879D23D"/>
    <w:rsid w:val="78895772"/>
    <w:rsid w:val="78ABE6DB"/>
    <w:rsid w:val="78B0F927"/>
    <w:rsid w:val="78D8A160"/>
    <w:rsid w:val="78E2C04F"/>
    <w:rsid w:val="78ECE853"/>
    <w:rsid w:val="7901C23C"/>
    <w:rsid w:val="792129AD"/>
    <w:rsid w:val="796E50D0"/>
    <w:rsid w:val="797E382A"/>
    <w:rsid w:val="7995D9EF"/>
    <w:rsid w:val="79A8AB5A"/>
    <w:rsid w:val="79BB817C"/>
    <w:rsid w:val="79E3F8C9"/>
    <w:rsid w:val="7A008554"/>
    <w:rsid w:val="7A065F57"/>
    <w:rsid w:val="7A4B595D"/>
    <w:rsid w:val="7A6DCB4F"/>
    <w:rsid w:val="7A783FF4"/>
    <w:rsid w:val="7A7CC1DF"/>
    <w:rsid w:val="7A82FFFD"/>
    <w:rsid w:val="7A877745"/>
    <w:rsid w:val="7B0BF74C"/>
    <w:rsid w:val="7B3C1EB3"/>
    <w:rsid w:val="7B48C7E3"/>
    <w:rsid w:val="7B4A0FC5"/>
    <w:rsid w:val="7B60F32E"/>
    <w:rsid w:val="7B771E2F"/>
    <w:rsid w:val="7B7A455D"/>
    <w:rsid w:val="7B8C013B"/>
    <w:rsid w:val="7BB2B71F"/>
    <w:rsid w:val="7BB6195B"/>
    <w:rsid w:val="7BD0FC20"/>
    <w:rsid w:val="7BDE935F"/>
    <w:rsid w:val="7C17503B"/>
    <w:rsid w:val="7C1ECCBC"/>
    <w:rsid w:val="7CAC3962"/>
    <w:rsid w:val="7CAEB898"/>
    <w:rsid w:val="7CAF199D"/>
    <w:rsid w:val="7CB36ED7"/>
    <w:rsid w:val="7CC5B479"/>
    <w:rsid w:val="7CDE38EC"/>
    <w:rsid w:val="7CEB2CC1"/>
    <w:rsid w:val="7D104730"/>
    <w:rsid w:val="7D3369CB"/>
    <w:rsid w:val="7D65DBF3"/>
    <w:rsid w:val="7DC21229"/>
    <w:rsid w:val="7DE10174"/>
    <w:rsid w:val="7DE103D2"/>
    <w:rsid w:val="7E189355"/>
    <w:rsid w:val="7E1B58E5"/>
    <w:rsid w:val="7E2720D5"/>
    <w:rsid w:val="7E3C221C"/>
    <w:rsid w:val="7E6038F6"/>
    <w:rsid w:val="7E7045E8"/>
    <w:rsid w:val="7EB7D431"/>
    <w:rsid w:val="7EBA5E5A"/>
    <w:rsid w:val="7ED8A737"/>
    <w:rsid w:val="7EDE3872"/>
    <w:rsid w:val="7EFA1E3E"/>
    <w:rsid w:val="7F0C3419"/>
    <w:rsid w:val="7F11B1AF"/>
    <w:rsid w:val="7F3FFEF5"/>
    <w:rsid w:val="7F88692D"/>
    <w:rsid w:val="7FBA82E5"/>
    <w:rsid w:val="7FD3BCC6"/>
    <w:rsid w:val="7FD4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303645"/>
  <w15:chartTrackingRefBased/>
  <w15:docId w15:val="{8ABA09A4-C3E2-4481-A5E2-10670DC1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30B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9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9B6A8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0B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BC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30BC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30BCD"/>
    <w:pPr>
      <w:ind w:left="720"/>
      <w:contextualSpacing/>
    </w:pPr>
  </w:style>
  <w:style w:type="paragraph" w:styleId="Header">
    <w:name w:val="header"/>
    <w:basedOn w:val="Normal"/>
    <w:link w:val="HeaderChar"/>
    <w:uiPriority w:val="99"/>
    <w:unhideWhenUsed/>
    <w:rsid w:val="002D1B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BCE"/>
  </w:style>
  <w:style w:type="paragraph" w:styleId="Footer">
    <w:name w:val="footer"/>
    <w:basedOn w:val="Normal"/>
    <w:link w:val="FooterChar"/>
    <w:uiPriority w:val="99"/>
    <w:unhideWhenUsed/>
    <w:rsid w:val="002D1B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BCE"/>
  </w:style>
  <w:style w:type="character" w:styleId="CommentReference">
    <w:name w:val="annotation reference"/>
    <w:basedOn w:val="DefaultParagraphFont"/>
    <w:uiPriority w:val="99"/>
    <w:semiHidden/>
    <w:unhideWhenUsed/>
    <w:rsid w:val="0031002A"/>
    <w:rPr>
      <w:sz w:val="16"/>
      <w:szCs w:val="16"/>
    </w:rPr>
  </w:style>
  <w:style w:type="paragraph" w:styleId="CommentText">
    <w:name w:val="annotation text"/>
    <w:basedOn w:val="Normal"/>
    <w:link w:val="CommentTextChar"/>
    <w:uiPriority w:val="99"/>
    <w:unhideWhenUsed/>
    <w:rsid w:val="0031002A"/>
    <w:pPr>
      <w:spacing w:line="240" w:lineRule="auto"/>
    </w:pPr>
    <w:rPr>
      <w:sz w:val="20"/>
      <w:szCs w:val="20"/>
    </w:rPr>
  </w:style>
  <w:style w:type="character" w:customStyle="1" w:styleId="CommentTextChar">
    <w:name w:val="Comment Text Char"/>
    <w:basedOn w:val="DefaultParagraphFont"/>
    <w:link w:val="CommentText"/>
    <w:uiPriority w:val="99"/>
    <w:rsid w:val="0031002A"/>
    <w:rPr>
      <w:sz w:val="20"/>
      <w:szCs w:val="20"/>
    </w:rPr>
  </w:style>
  <w:style w:type="paragraph" w:styleId="CommentSubject">
    <w:name w:val="annotation subject"/>
    <w:basedOn w:val="CommentText"/>
    <w:next w:val="CommentText"/>
    <w:link w:val="CommentSubjectChar"/>
    <w:uiPriority w:val="99"/>
    <w:semiHidden/>
    <w:unhideWhenUsed/>
    <w:rsid w:val="0031002A"/>
    <w:rPr>
      <w:b/>
      <w:bCs/>
    </w:rPr>
  </w:style>
  <w:style w:type="character" w:customStyle="1" w:styleId="CommentSubjectChar">
    <w:name w:val="Comment Subject Char"/>
    <w:basedOn w:val="CommentTextChar"/>
    <w:link w:val="CommentSubject"/>
    <w:uiPriority w:val="99"/>
    <w:semiHidden/>
    <w:rsid w:val="0031002A"/>
    <w:rPr>
      <w:b/>
      <w:bCs/>
      <w:sz w:val="20"/>
      <w:szCs w:val="20"/>
    </w:rPr>
  </w:style>
  <w:style w:type="paragraph" w:styleId="BalloonText">
    <w:name w:val="Balloon Text"/>
    <w:basedOn w:val="Normal"/>
    <w:link w:val="BalloonTextChar"/>
    <w:uiPriority w:val="99"/>
    <w:semiHidden/>
    <w:unhideWhenUsed/>
    <w:rsid w:val="003100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02A"/>
    <w:rPr>
      <w:rFonts w:ascii="Segoe UI" w:hAnsi="Segoe UI" w:cs="Segoe UI"/>
      <w:sz w:val="18"/>
      <w:szCs w:val="18"/>
    </w:rPr>
  </w:style>
  <w:style w:type="table" w:styleId="TableGrid">
    <w:name w:val="Table Grid"/>
    <w:basedOn w:val="TableNormal"/>
    <w:uiPriority w:val="39"/>
    <w:rsid w:val="00334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34936"/>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2A2DFA"/>
    <w:rPr>
      <w:color w:val="808080"/>
    </w:rPr>
  </w:style>
  <w:style w:type="character" w:customStyle="1" w:styleId="Heading4Char">
    <w:name w:val="Heading 4 Char"/>
    <w:basedOn w:val="DefaultParagraphFont"/>
    <w:link w:val="Heading4"/>
    <w:uiPriority w:val="9"/>
    <w:semiHidden/>
    <w:rsid w:val="009B6A87"/>
    <w:rPr>
      <w:rFonts w:asciiTheme="majorHAnsi" w:eastAsiaTheme="majorEastAsia" w:hAnsiTheme="majorHAnsi" w:cstheme="majorBidi"/>
      <w:i/>
      <w:iCs/>
      <w:color w:val="2E74B5" w:themeColor="accent1" w:themeShade="BF"/>
    </w:rPr>
  </w:style>
  <w:style w:type="paragraph" w:styleId="Caption">
    <w:name w:val="caption"/>
    <w:basedOn w:val="Normal"/>
    <w:next w:val="Normal"/>
    <w:uiPriority w:val="35"/>
    <w:unhideWhenUsed/>
    <w:qFormat/>
    <w:rsid w:val="0056544D"/>
    <w:pPr>
      <w:spacing w:after="200" w:line="240" w:lineRule="auto"/>
    </w:pPr>
    <w:rPr>
      <w:i/>
      <w:iCs/>
      <w:color w:val="44546A" w:themeColor="text2"/>
      <w:sz w:val="18"/>
      <w:szCs w:val="18"/>
    </w:rPr>
  </w:style>
  <w:style w:type="paragraph" w:customStyle="1" w:styleId="EndNoteBibliographyTitle">
    <w:name w:val="EndNote Bibliography Title"/>
    <w:basedOn w:val="Normal"/>
    <w:link w:val="EndNoteBibliographyTitleChar"/>
    <w:rsid w:val="004653B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653BE"/>
    <w:rPr>
      <w:rFonts w:ascii="Calibri" w:hAnsi="Calibri" w:cs="Calibri"/>
      <w:noProof/>
    </w:rPr>
  </w:style>
  <w:style w:type="paragraph" w:customStyle="1" w:styleId="EndNoteBibliography">
    <w:name w:val="EndNote Bibliography"/>
    <w:basedOn w:val="Normal"/>
    <w:link w:val="EndNoteBibliographyChar"/>
    <w:rsid w:val="004653B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653BE"/>
    <w:rPr>
      <w:rFonts w:ascii="Calibri" w:hAnsi="Calibri" w:cs="Calibri"/>
      <w:noProof/>
    </w:rPr>
  </w:style>
  <w:style w:type="character" w:styleId="Hyperlink">
    <w:name w:val="Hyperlink"/>
    <w:basedOn w:val="DefaultParagraphFont"/>
    <w:uiPriority w:val="99"/>
    <w:unhideWhenUsed/>
    <w:rsid w:val="004653BE"/>
    <w:rPr>
      <w:color w:val="0563C1" w:themeColor="hyperlink"/>
      <w:u w:val="single"/>
    </w:rPr>
  </w:style>
  <w:style w:type="paragraph" w:styleId="HTMLPreformatted">
    <w:name w:val="HTML Preformatted"/>
    <w:basedOn w:val="Normal"/>
    <w:link w:val="HTMLPreformattedChar"/>
    <w:uiPriority w:val="99"/>
    <w:semiHidden/>
    <w:unhideWhenUsed/>
    <w:rsid w:val="00AA6B7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A6B7E"/>
    <w:rPr>
      <w:rFonts w:ascii="Consolas" w:hAnsi="Consolas"/>
      <w:sz w:val="20"/>
      <w:szCs w:val="20"/>
    </w:rPr>
  </w:style>
  <w:style w:type="paragraph" w:styleId="Revision">
    <w:name w:val="Revision"/>
    <w:hidden/>
    <w:uiPriority w:val="99"/>
    <w:semiHidden/>
    <w:rsid w:val="003B23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09117">
      <w:bodyDiv w:val="1"/>
      <w:marLeft w:val="0"/>
      <w:marRight w:val="0"/>
      <w:marTop w:val="0"/>
      <w:marBottom w:val="0"/>
      <w:divBdr>
        <w:top w:val="none" w:sz="0" w:space="0" w:color="auto"/>
        <w:left w:val="none" w:sz="0" w:space="0" w:color="auto"/>
        <w:bottom w:val="none" w:sz="0" w:space="0" w:color="auto"/>
        <w:right w:val="none" w:sz="0" w:space="0" w:color="auto"/>
      </w:divBdr>
      <w:divsChild>
        <w:div w:id="1734114186">
          <w:marLeft w:val="0"/>
          <w:marRight w:val="0"/>
          <w:marTop w:val="0"/>
          <w:marBottom w:val="0"/>
          <w:divBdr>
            <w:top w:val="none" w:sz="0" w:space="0" w:color="auto"/>
            <w:left w:val="none" w:sz="0" w:space="0" w:color="auto"/>
            <w:bottom w:val="none" w:sz="0" w:space="0" w:color="auto"/>
            <w:right w:val="none" w:sz="0" w:space="0" w:color="auto"/>
          </w:divBdr>
          <w:divsChild>
            <w:div w:id="228853386">
              <w:marLeft w:val="0"/>
              <w:marRight w:val="0"/>
              <w:marTop w:val="0"/>
              <w:marBottom w:val="0"/>
              <w:divBdr>
                <w:top w:val="none" w:sz="0" w:space="0" w:color="auto"/>
                <w:left w:val="none" w:sz="0" w:space="0" w:color="auto"/>
                <w:bottom w:val="none" w:sz="0" w:space="0" w:color="auto"/>
                <w:right w:val="none" w:sz="0" w:space="0" w:color="auto"/>
              </w:divBdr>
              <w:divsChild>
                <w:div w:id="1233855504">
                  <w:marLeft w:val="0"/>
                  <w:marRight w:val="0"/>
                  <w:marTop w:val="0"/>
                  <w:marBottom w:val="0"/>
                  <w:divBdr>
                    <w:top w:val="none" w:sz="0" w:space="0" w:color="auto"/>
                    <w:left w:val="none" w:sz="0" w:space="0" w:color="auto"/>
                    <w:bottom w:val="none" w:sz="0" w:space="0" w:color="auto"/>
                    <w:right w:val="none" w:sz="0" w:space="0" w:color="auto"/>
                  </w:divBdr>
                  <w:divsChild>
                    <w:div w:id="820004384">
                      <w:marLeft w:val="0"/>
                      <w:marRight w:val="0"/>
                      <w:marTop w:val="0"/>
                      <w:marBottom w:val="0"/>
                      <w:divBdr>
                        <w:top w:val="none" w:sz="0" w:space="0" w:color="auto"/>
                        <w:left w:val="none" w:sz="0" w:space="0" w:color="auto"/>
                        <w:bottom w:val="none" w:sz="0" w:space="0" w:color="auto"/>
                        <w:right w:val="none" w:sz="0" w:space="0" w:color="auto"/>
                      </w:divBdr>
                      <w:divsChild>
                        <w:div w:id="2147041256">
                          <w:marLeft w:val="0"/>
                          <w:marRight w:val="0"/>
                          <w:marTop w:val="0"/>
                          <w:marBottom w:val="0"/>
                          <w:divBdr>
                            <w:top w:val="none" w:sz="0" w:space="0" w:color="auto"/>
                            <w:left w:val="none" w:sz="0" w:space="0" w:color="auto"/>
                            <w:bottom w:val="none" w:sz="0" w:space="0" w:color="auto"/>
                            <w:right w:val="none" w:sz="0" w:space="0" w:color="auto"/>
                          </w:divBdr>
                          <w:divsChild>
                            <w:div w:id="1841769432">
                              <w:marLeft w:val="2700"/>
                              <w:marRight w:val="3960"/>
                              <w:marTop w:val="0"/>
                              <w:marBottom w:val="0"/>
                              <w:divBdr>
                                <w:top w:val="none" w:sz="0" w:space="0" w:color="auto"/>
                                <w:left w:val="none" w:sz="0" w:space="0" w:color="auto"/>
                                <w:bottom w:val="none" w:sz="0" w:space="0" w:color="auto"/>
                                <w:right w:val="none" w:sz="0" w:space="0" w:color="auto"/>
                              </w:divBdr>
                              <w:divsChild>
                                <w:div w:id="885458033">
                                  <w:marLeft w:val="0"/>
                                  <w:marRight w:val="0"/>
                                  <w:marTop w:val="0"/>
                                  <w:marBottom w:val="0"/>
                                  <w:divBdr>
                                    <w:top w:val="none" w:sz="0" w:space="0" w:color="auto"/>
                                    <w:left w:val="none" w:sz="0" w:space="0" w:color="auto"/>
                                    <w:bottom w:val="none" w:sz="0" w:space="0" w:color="auto"/>
                                    <w:right w:val="none" w:sz="0" w:space="0" w:color="auto"/>
                                  </w:divBdr>
                                  <w:divsChild>
                                    <w:div w:id="1798067454">
                                      <w:marLeft w:val="0"/>
                                      <w:marRight w:val="0"/>
                                      <w:marTop w:val="0"/>
                                      <w:marBottom w:val="0"/>
                                      <w:divBdr>
                                        <w:top w:val="none" w:sz="0" w:space="0" w:color="auto"/>
                                        <w:left w:val="none" w:sz="0" w:space="0" w:color="auto"/>
                                        <w:bottom w:val="none" w:sz="0" w:space="0" w:color="auto"/>
                                        <w:right w:val="none" w:sz="0" w:space="0" w:color="auto"/>
                                      </w:divBdr>
                                      <w:divsChild>
                                        <w:div w:id="163211411">
                                          <w:marLeft w:val="0"/>
                                          <w:marRight w:val="0"/>
                                          <w:marTop w:val="0"/>
                                          <w:marBottom w:val="0"/>
                                          <w:divBdr>
                                            <w:top w:val="none" w:sz="0" w:space="0" w:color="auto"/>
                                            <w:left w:val="none" w:sz="0" w:space="0" w:color="auto"/>
                                            <w:bottom w:val="none" w:sz="0" w:space="0" w:color="auto"/>
                                            <w:right w:val="none" w:sz="0" w:space="0" w:color="auto"/>
                                          </w:divBdr>
                                          <w:divsChild>
                                            <w:div w:id="99956260">
                                              <w:marLeft w:val="0"/>
                                              <w:marRight w:val="0"/>
                                              <w:marTop w:val="90"/>
                                              <w:marBottom w:val="0"/>
                                              <w:divBdr>
                                                <w:top w:val="none" w:sz="0" w:space="0" w:color="auto"/>
                                                <w:left w:val="none" w:sz="0" w:space="0" w:color="auto"/>
                                                <w:bottom w:val="none" w:sz="0" w:space="0" w:color="auto"/>
                                                <w:right w:val="none" w:sz="0" w:space="0" w:color="auto"/>
                                              </w:divBdr>
                                              <w:divsChild>
                                                <w:div w:id="1094126573">
                                                  <w:marLeft w:val="0"/>
                                                  <w:marRight w:val="0"/>
                                                  <w:marTop w:val="0"/>
                                                  <w:marBottom w:val="420"/>
                                                  <w:divBdr>
                                                    <w:top w:val="none" w:sz="0" w:space="0" w:color="auto"/>
                                                    <w:left w:val="none" w:sz="0" w:space="0" w:color="auto"/>
                                                    <w:bottom w:val="none" w:sz="0" w:space="0" w:color="auto"/>
                                                    <w:right w:val="none" w:sz="0" w:space="0" w:color="auto"/>
                                                  </w:divBdr>
                                                  <w:divsChild>
                                                    <w:div w:id="1124496230">
                                                      <w:marLeft w:val="0"/>
                                                      <w:marRight w:val="0"/>
                                                      <w:marTop w:val="0"/>
                                                      <w:marBottom w:val="0"/>
                                                      <w:divBdr>
                                                        <w:top w:val="none" w:sz="0" w:space="0" w:color="auto"/>
                                                        <w:left w:val="none" w:sz="0" w:space="0" w:color="auto"/>
                                                        <w:bottom w:val="none" w:sz="0" w:space="0" w:color="auto"/>
                                                        <w:right w:val="none" w:sz="0" w:space="0" w:color="auto"/>
                                                      </w:divBdr>
                                                      <w:divsChild>
                                                        <w:div w:id="1125389899">
                                                          <w:marLeft w:val="0"/>
                                                          <w:marRight w:val="0"/>
                                                          <w:marTop w:val="0"/>
                                                          <w:marBottom w:val="0"/>
                                                          <w:divBdr>
                                                            <w:top w:val="none" w:sz="0" w:space="0" w:color="auto"/>
                                                            <w:left w:val="none" w:sz="0" w:space="0" w:color="auto"/>
                                                            <w:bottom w:val="none" w:sz="0" w:space="0" w:color="auto"/>
                                                            <w:right w:val="none" w:sz="0" w:space="0" w:color="auto"/>
                                                          </w:divBdr>
                                                          <w:divsChild>
                                                            <w:div w:id="993291640">
                                                              <w:marLeft w:val="0"/>
                                                              <w:marRight w:val="0"/>
                                                              <w:marTop w:val="0"/>
                                                              <w:marBottom w:val="0"/>
                                                              <w:divBdr>
                                                                <w:top w:val="none" w:sz="0" w:space="0" w:color="auto"/>
                                                                <w:left w:val="none" w:sz="0" w:space="0" w:color="auto"/>
                                                                <w:bottom w:val="none" w:sz="0" w:space="0" w:color="auto"/>
                                                                <w:right w:val="none" w:sz="0" w:space="0" w:color="auto"/>
                                                              </w:divBdr>
                                                              <w:divsChild>
                                                                <w:div w:id="1287349743">
                                                                  <w:marLeft w:val="0"/>
                                                                  <w:marRight w:val="0"/>
                                                                  <w:marTop w:val="0"/>
                                                                  <w:marBottom w:val="0"/>
                                                                  <w:divBdr>
                                                                    <w:top w:val="none" w:sz="0" w:space="0" w:color="auto"/>
                                                                    <w:left w:val="none" w:sz="0" w:space="0" w:color="auto"/>
                                                                    <w:bottom w:val="none" w:sz="0" w:space="0" w:color="auto"/>
                                                                    <w:right w:val="none" w:sz="0" w:space="0" w:color="auto"/>
                                                                  </w:divBdr>
                                                                  <w:divsChild>
                                                                    <w:div w:id="1310330703">
                                                                      <w:marLeft w:val="0"/>
                                                                      <w:marRight w:val="0"/>
                                                                      <w:marTop w:val="0"/>
                                                                      <w:marBottom w:val="0"/>
                                                                      <w:divBdr>
                                                                        <w:top w:val="none" w:sz="0" w:space="0" w:color="auto"/>
                                                                        <w:left w:val="none" w:sz="0" w:space="0" w:color="auto"/>
                                                                        <w:bottom w:val="none" w:sz="0" w:space="0" w:color="auto"/>
                                                                        <w:right w:val="none" w:sz="0" w:space="0" w:color="auto"/>
                                                                      </w:divBdr>
                                                                      <w:divsChild>
                                                                        <w:div w:id="1306281517">
                                                                          <w:marLeft w:val="0"/>
                                                                          <w:marRight w:val="0"/>
                                                                          <w:marTop w:val="0"/>
                                                                          <w:marBottom w:val="0"/>
                                                                          <w:divBdr>
                                                                            <w:top w:val="none" w:sz="0" w:space="0" w:color="auto"/>
                                                                            <w:left w:val="none" w:sz="0" w:space="0" w:color="auto"/>
                                                                            <w:bottom w:val="none" w:sz="0" w:space="0" w:color="auto"/>
                                                                            <w:right w:val="none" w:sz="0" w:space="0" w:color="auto"/>
                                                                          </w:divBdr>
                                                                          <w:divsChild>
                                                                            <w:div w:id="1675304530">
                                                                              <w:marLeft w:val="0"/>
                                                                              <w:marRight w:val="0"/>
                                                                              <w:marTop w:val="0"/>
                                                                              <w:marBottom w:val="0"/>
                                                                              <w:divBdr>
                                                                                <w:top w:val="none" w:sz="0" w:space="0" w:color="auto"/>
                                                                                <w:left w:val="none" w:sz="0" w:space="0" w:color="auto"/>
                                                                                <w:bottom w:val="none" w:sz="0" w:space="0" w:color="auto"/>
                                                                                <w:right w:val="none" w:sz="0" w:space="0" w:color="auto"/>
                                                                              </w:divBdr>
                                                                              <w:divsChild>
                                                                                <w:div w:id="550189616">
                                                                                  <w:marLeft w:val="0"/>
                                                                                  <w:marRight w:val="0"/>
                                                                                  <w:marTop w:val="0"/>
                                                                                  <w:marBottom w:val="0"/>
                                                                                  <w:divBdr>
                                                                                    <w:top w:val="none" w:sz="0" w:space="0" w:color="auto"/>
                                                                                    <w:left w:val="none" w:sz="0" w:space="0" w:color="auto"/>
                                                                                    <w:bottom w:val="none" w:sz="0" w:space="0" w:color="auto"/>
                                                                                    <w:right w:val="none" w:sz="0" w:space="0" w:color="auto"/>
                                                                                  </w:divBdr>
                                                                                  <w:divsChild>
                                                                                    <w:div w:id="38064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279413">
      <w:bodyDiv w:val="1"/>
      <w:marLeft w:val="0"/>
      <w:marRight w:val="0"/>
      <w:marTop w:val="0"/>
      <w:marBottom w:val="0"/>
      <w:divBdr>
        <w:top w:val="none" w:sz="0" w:space="0" w:color="auto"/>
        <w:left w:val="none" w:sz="0" w:space="0" w:color="auto"/>
        <w:bottom w:val="none" w:sz="0" w:space="0" w:color="auto"/>
        <w:right w:val="none" w:sz="0" w:space="0" w:color="auto"/>
      </w:divBdr>
    </w:div>
    <w:div w:id="449786807">
      <w:bodyDiv w:val="1"/>
      <w:marLeft w:val="0"/>
      <w:marRight w:val="0"/>
      <w:marTop w:val="0"/>
      <w:marBottom w:val="0"/>
      <w:divBdr>
        <w:top w:val="none" w:sz="0" w:space="0" w:color="auto"/>
        <w:left w:val="none" w:sz="0" w:space="0" w:color="auto"/>
        <w:bottom w:val="none" w:sz="0" w:space="0" w:color="auto"/>
        <w:right w:val="none" w:sz="0" w:space="0" w:color="auto"/>
      </w:divBdr>
      <w:divsChild>
        <w:div w:id="1736508820">
          <w:marLeft w:val="0"/>
          <w:marRight w:val="0"/>
          <w:marTop w:val="0"/>
          <w:marBottom w:val="0"/>
          <w:divBdr>
            <w:top w:val="none" w:sz="0" w:space="0" w:color="auto"/>
            <w:left w:val="none" w:sz="0" w:space="0" w:color="auto"/>
            <w:bottom w:val="none" w:sz="0" w:space="0" w:color="auto"/>
            <w:right w:val="none" w:sz="0" w:space="0" w:color="auto"/>
          </w:divBdr>
          <w:divsChild>
            <w:div w:id="1978491970">
              <w:marLeft w:val="0"/>
              <w:marRight w:val="0"/>
              <w:marTop w:val="0"/>
              <w:marBottom w:val="0"/>
              <w:divBdr>
                <w:top w:val="none" w:sz="0" w:space="0" w:color="auto"/>
                <w:left w:val="none" w:sz="0" w:space="0" w:color="auto"/>
                <w:bottom w:val="none" w:sz="0" w:space="0" w:color="auto"/>
                <w:right w:val="none" w:sz="0" w:space="0" w:color="auto"/>
              </w:divBdr>
              <w:divsChild>
                <w:div w:id="1736706785">
                  <w:marLeft w:val="0"/>
                  <w:marRight w:val="0"/>
                  <w:marTop w:val="0"/>
                  <w:marBottom w:val="0"/>
                  <w:divBdr>
                    <w:top w:val="none" w:sz="0" w:space="0" w:color="auto"/>
                    <w:left w:val="none" w:sz="0" w:space="0" w:color="auto"/>
                    <w:bottom w:val="none" w:sz="0" w:space="0" w:color="auto"/>
                    <w:right w:val="none" w:sz="0" w:space="0" w:color="auto"/>
                  </w:divBdr>
                  <w:divsChild>
                    <w:div w:id="2096052547">
                      <w:marLeft w:val="0"/>
                      <w:marRight w:val="0"/>
                      <w:marTop w:val="0"/>
                      <w:marBottom w:val="0"/>
                      <w:divBdr>
                        <w:top w:val="none" w:sz="0" w:space="0" w:color="auto"/>
                        <w:left w:val="none" w:sz="0" w:space="0" w:color="auto"/>
                        <w:bottom w:val="none" w:sz="0" w:space="0" w:color="auto"/>
                        <w:right w:val="none" w:sz="0" w:space="0" w:color="auto"/>
                      </w:divBdr>
                      <w:divsChild>
                        <w:div w:id="866676293">
                          <w:marLeft w:val="0"/>
                          <w:marRight w:val="0"/>
                          <w:marTop w:val="0"/>
                          <w:marBottom w:val="0"/>
                          <w:divBdr>
                            <w:top w:val="none" w:sz="0" w:space="0" w:color="auto"/>
                            <w:left w:val="none" w:sz="0" w:space="0" w:color="auto"/>
                            <w:bottom w:val="none" w:sz="0" w:space="0" w:color="auto"/>
                            <w:right w:val="none" w:sz="0" w:space="0" w:color="auto"/>
                          </w:divBdr>
                          <w:divsChild>
                            <w:div w:id="332268756">
                              <w:marLeft w:val="2700"/>
                              <w:marRight w:val="3960"/>
                              <w:marTop w:val="0"/>
                              <w:marBottom w:val="0"/>
                              <w:divBdr>
                                <w:top w:val="none" w:sz="0" w:space="0" w:color="auto"/>
                                <w:left w:val="none" w:sz="0" w:space="0" w:color="auto"/>
                                <w:bottom w:val="none" w:sz="0" w:space="0" w:color="auto"/>
                                <w:right w:val="none" w:sz="0" w:space="0" w:color="auto"/>
                              </w:divBdr>
                              <w:divsChild>
                                <w:div w:id="1661343980">
                                  <w:marLeft w:val="0"/>
                                  <w:marRight w:val="0"/>
                                  <w:marTop w:val="0"/>
                                  <w:marBottom w:val="0"/>
                                  <w:divBdr>
                                    <w:top w:val="none" w:sz="0" w:space="0" w:color="auto"/>
                                    <w:left w:val="none" w:sz="0" w:space="0" w:color="auto"/>
                                    <w:bottom w:val="none" w:sz="0" w:space="0" w:color="auto"/>
                                    <w:right w:val="none" w:sz="0" w:space="0" w:color="auto"/>
                                  </w:divBdr>
                                  <w:divsChild>
                                    <w:div w:id="675233055">
                                      <w:marLeft w:val="0"/>
                                      <w:marRight w:val="0"/>
                                      <w:marTop w:val="0"/>
                                      <w:marBottom w:val="0"/>
                                      <w:divBdr>
                                        <w:top w:val="none" w:sz="0" w:space="0" w:color="auto"/>
                                        <w:left w:val="none" w:sz="0" w:space="0" w:color="auto"/>
                                        <w:bottom w:val="none" w:sz="0" w:space="0" w:color="auto"/>
                                        <w:right w:val="none" w:sz="0" w:space="0" w:color="auto"/>
                                      </w:divBdr>
                                      <w:divsChild>
                                        <w:div w:id="1504127080">
                                          <w:marLeft w:val="0"/>
                                          <w:marRight w:val="0"/>
                                          <w:marTop w:val="0"/>
                                          <w:marBottom w:val="0"/>
                                          <w:divBdr>
                                            <w:top w:val="none" w:sz="0" w:space="0" w:color="auto"/>
                                            <w:left w:val="none" w:sz="0" w:space="0" w:color="auto"/>
                                            <w:bottom w:val="none" w:sz="0" w:space="0" w:color="auto"/>
                                            <w:right w:val="none" w:sz="0" w:space="0" w:color="auto"/>
                                          </w:divBdr>
                                          <w:divsChild>
                                            <w:div w:id="2039811485">
                                              <w:marLeft w:val="0"/>
                                              <w:marRight w:val="0"/>
                                              <w:marTop w:val="90"/>
                                              <w:marBottom w:val="0"/>
                                              <w:divBdr>
                                                <w:top w:val="none" w:sz="0" w:space="0" w:color="auto"/>
                                                <w:left w:val="none" w:sz="0" w:space="0" w:color="auto"/>
                                                <w:bottom w:val="none" w:sz="0" w:space="0" w:color="auto"/>
                                                <w:right w:val="none" w:sz="0" w:space="0" w:color="auto"/>
                                              </w:divBdr>
                                              <w:divsChild>
                                                <w:div w:id="207575453">
                                                  <w:marLeft w:val="0"/>
                                                  <w:marRight w:val="0"/>
                                                  <w:marTop w:val="0"/>
                                                  <w:marBottom w:val="420"/>
                                                  <w:divBdr>
                                                    <w:top w:val="none" w:sz="0" w:space="0" w:color="auto"/>
                                                    <w:left w:val="none" w:sz="0" w:space="0" w:color="auto"/>
                                                    <w:bottom w:val="none" w:sz="0" w:space="0" w:color="auto"/>
                                                    <w:right w:val="none" w:sz="0" w:space="0" w:color="auto"/>
                                                  </w:divBdr>
                                                  <w:divsChild>
                                                    <w:div w:id="2040428322">
                                                      <w:marLeft w:val="0"/>
                                                      <w:marRight w:val="0"/>
                                                      <w:marTop w:val="0"/>
                                                      <w:marBottom w:val="0"/>
                                                      <w:divBdr>
                                                        <w:top w:val="none" w:sz="0" w:space="0" w:color="auto"/>
                                                        <w:left w:val="none" w:sz="0" w:space="0" w:color="auto"/>
                                                        <w:bottom w:val="none" w:sz="0" w:space="0" w:color="auto"/>
                                                        <w:right w:val="none" w:sz="0" w:space="0" w:color="auto"/>
                                                      </w:divBdr>
                                                      <w:divsChild>
                                                        <w:div w:id="1264266650">
                                                          <w:marLeft w:val="0"/>
                                                          <w:marRight w:val="0"/>
                                                          <w:marTop w:val="0"/>
                                                          <w:marBottom w:val="0"/>
                                                          <w:divBdr>
                                                            <w:top w:val="none" w:sz="0" w:space="0" w:color="auto"/>
                                                            <w:left w:val="none" w:sz="0" w:space="0" w:color="auto"/>
                                                            <w:bottom w:val="none" w:sz="0" w:space="0" w:color="auto"/>
                                                            <w:right w:val="none" w:sz="0" w:space="0" w:color="auto"/>
                                                          </w:divBdr>
                                                          <w:divsChild>
                                                            <w:div w:id="738330226">
                                                              <w:marLeft w:val="0"/>
                                                              <w:marRight w:val="0"/>
                                                              <w:marTop w:val="0"/>
                                                              <w:marBottom w:val="0"/>
                                                              <w:divBdr>
                                                                <w:top w:val="none" w:sz="0" w:space="0" w:color="auto"/>
                                                                <w:left w:val="none" w:sz="0" w:space="0" w:color="auto"/>
                                                                <w:bottom w:val="none" w:sz="0" w:space="0" w:color="auto"/>
                                                                <w:right w:val="none" w:sz="0" w:space="0" w:color="auto"/>
                                                              </w:divBdr>
                                                              <w:divsChild>
                                                                <w:div w:id="1071152625">
                                                                  <w:marLeft w:val="0"/>
                                                                  <w:marRight w:val="0"/>
                                                                  <w:marTop w:val="0"/>
                                                                  <w:marBottom w:val="0"/>
                                                                  <w:divBdr>
                                                                    <w:top w:val="none" w:sz="0" w:space="0" w:color="auto"/>
                                                                    <w:left w:val="none" w:sz="0" w:space="0" w:color="auto"/>
                                                                    <w:bottom w:val="none" w:sz="0" w:space="0" w:color="auto"/>
                                                                    <w:right w:val="none" w:sz="0" w:space="0" w:color="auto"/>
                                                                  </w:divBdr>
                                                                  <w:divsChild>
                                                                    <w:div w:id="452018209">
                                                                      <w:marLeft w:val="0"/>
                                                                      <w:marRight w:val="0"/>
                                                                      <w:marTop w:val="0"/>
                                                                      <w:marBottom w:val="0"/>
                                                                      <w:divBdr>
                                                                        <w:top w:val="none" w:sz="0" w:space="0" w:color="auto"/>
                                                                        <w:left w:val="none" w:sz="0" w:space="0" w:color="auto"/>
                                                                        <w:bottom w:val="none" w:sz="0" w:space="0" w:color="auto"/>
                                                                        <w:right w:val="none" w:sz="0" w:space="0" w:color="auto"/>
                                                                      </w:divBdr>
                                                                      <w:divsChild>
                                                                        <w:div w:id="1288781138">
                                                                          <w:marLeft w:val="0"/>
                                                                          <w:marRight w:val="0"/>
                                                                          <w:marTop w:val="0"/>
                                                                          <w:marBottom w:val="0"/>
                                                                          <w:divBdr>
                                                                            <w:top w:val="none" w:sz="0" w:space="0" w:color="auto"/>
                                                                            <w:left w:val="none" w:sz="0" w:space="0" w:color="auto"/>
                                                                            <w:bottom w:val="none" w:sz="0" w:space="0" w:color="auto"/>
                                                                            <w:right w:val="none" w:sz="0" w:space="0" w:color="auto"/>
                                                                          </w:divBdr>
                                                                          <w:divsChild>
                                                                            <w:div w:id="431559246">
                                                                              <w:marLeft w:val="0"/>
                                                                              <w:marRight w:val="0"/>
                                                                              <w:marTop w:val="0"/>
                                                                              <w:marBottom w:val="0"/>
                                                                              <w:divBdr>
                                                                                <w:top w:val="none" w:sz="0" w:space="0" w:color="auto"/>
                                                                                <w:left w:val="none" w:sz="0" w:space="0" w:color="auto"/>
                                                                                <w:bottom w:val="none" w:sz="0" w:space="0" w:color="auto"/>
                                                                                <w:right w:val="none" w:sz="0" w:space="0" w:color="auto"/>
                                                                              </w:divBdr>
                                                                              <w:divsChild>
                                                                                <w:div w:id="2025206691">
                                                                                  <w:marLeft w:val="0"/>
                                                                                  <w:marRight w:val="0"/>
                                                                                  <w:marTop w:val="0"/>
                                                                                  <w:marBottom w:val="0"/>
                                                                                  <w:divBdr>
                                                                                    <w:top w:val="none" w:sz="0" w:space="0" w:color="auto"/>
                                                                                    <w:left w:val="none" w:sz="0" w:space="0" w:color="auto"/>
                                                                                    <w:bottom w:val="none" w:sz="0" w:space="0" w:color="auto"/>
                                                                                    <w:right w:val="none" w:sz="0" w:space="0" w:color="auto"/>
                                                                                  </w:divBdr>
                                                                                  <w:divsChild>
                                                                                    <w:div w:id="181063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266315">
      <w:bodyDiv w:val="1"/>
      <w:marLeft w:val="0"/>
      <w:marRight w:val="0"/>
      <w:marTop w:val="0"/>
      <w:marBottom w:val="0"/>
      <w:divBdr>
        <w:top w:val="none" w:sz="0" w:space="0" w:color="auto"/>
        <w:left w:val="none" w:sz="0" w:space="0" w:color="auto"/>
        <w:bottom w:val="none" w:sz="0" w:space="0" w:color="auto"/>
        <w:right w:val="none" w:sz="0" w:space="0" w:color="auto"/>
      </w:divBdr>
      <w:divsChild>
        <w:div w:id="1370913208">
          <w:marLeft w:val="0"/>
          <w:marRight w:val="0"/>
          <w:marTop w:val="0"/>
          <w:marBottom w:val="0"/>
          <w:divBdr>
            <w:top w:val="none" w:sz="0" w:space="0" w:color="auto"/>
            <w:left w:val="none" w:sz="0" w:space="0" w:color="auto"/>
            <w:bottom w:val="none" w:sz="0" w:space="0" w:color="auto"/>
            <w:right w:val="none" w:sz="0" w:space="0" w:color="auto"/>
          </w:divBdr>
          <w:divsChild>
            <w:div w:id="91626647">
              <w:marLeft w:val="0"/>
              <w:marRight w:val="0"/>
              <w:marTop w:val="0"/>
              <w:marBottom w:val="0"/>
              <w:divBdr>
                <w:top w:val="none" w:sz="0" w:space="0" w:color="auto"/>
                <w:left w:val="none" w:sz="0" w:space="0" w:color="auto"/>
                <w:bottom w:val="none" w:sz="0" w:space="0" w:color="auto"/>
                <w:right w:val="none" w:sz="0" w:space="0" w:color="auto"/>
              </w:divBdr>
              <w:divsChild>
                <w:div w:id="1437483356">
                  <w:marLeft w:val="0"/>
                  <w:marRight w:val="0"/>
                  <w:marTop w:val="0"/>
                  <w:marBottom w:val="0"/>
                  <w:divBdr>
                    <w:top w:val="none" w:sz="0" w:space="0" w:color="auto"/>
                    <w:left w:val="none" w:sz="0" w:space="0" w:color="auto"/>
                    <w:bottom w:val="none" w:sz="0" w:space="0" w:color="auto"/>
                    <w:right w:val="none" w:sz="0" w:space="0" w:color="auto"/>
                  </w:divBdr>
                  <w:divsChild>
                    <w:div w:id="1400597057">
                      <w:marLeft w:val="0"/>
                      <w:marRight w:val="0"/>
                      <w:marTop w:val="0"/>
                      <w:marBottom w:val="0"/>
                      <w:divBdr>
                        <w:top w:val="none" w:sz="0" w:space="0" w:color="auto"/>
                        <w:left w:val="none" w:sz="0" w:space="0" w:color="auto"/>
                        <w:bottom w:val="none" w:sz="0" w:space="0" w:color="auto"/>
                        <w:right w:val="none" w:sz="0" w:space="0" w:color="auto"/>
                      </w:divBdr>
                      <w:divsChild>
                        <w:div w:id="461655451">
                          <w:marLeft w:val="0"/>
                          <w:marRight w:val="0"/>
                          <w:marTop w:val="0"/>
                          <w:marBottom w:val="0"/>
                          <w:divBdr>
                            <w:top w:val="none" w:sz="0" w:space="0" w:color="auto"/>
                            <w:left w:val="none" w:sz="0" w:space="0" w:color="auto"/>
                            <w:bottom w:val="none" w:sz="0" w:space="0" w:color="auto"/>
                            <w:right w:val="none" w:sz="0" w:space="0" w:color="auto"/>
                          </w:divBdr>
                          <w:divsChild>
                            <w:div w:id="2108845107">
                              <w:marLeft w:val="2700"/>
                              <w:marRight w:val="3960"/>
                              <w:marTop w:val="0"/>
                              <w:marBottom w:val="0"/>
                              <w:divBdr>
                                <w:top w:val="none" w:sz="0" w:space="0" w:color="auto"/>
                                <w:left w:val="none" w:sz="0" w:space="0" w:color="auto"/>
                                <w:bottom w:val="none" w:sz="0" w:space="0" w:color="auto"/>
                                <w:right w:val="none" w:sz="0" w:space="0" w:color="auto"/>
                              </w:divBdr>
                              <w:divsChild>
                                <w:div w:id="590554738">
                                  <w:marLeft w:val="0"/>
                                  <w:marRight w:val="0"/>
                                  <w:marTop w:val="0"/>
                                  <w:marBottom w:val="0"/>
                                  <w:divBdr>
                                    <w:top w:val="none" w:sz="0" w:space="0" w:color="auto"/>
                                    <w:left w:val="none" w:sz="0" w:space="0" w:color="auto"/>
                                    <w:bottom w:val="none" w:sz="0" w:space="0" w:color="auto"/>
                                    <w:right w:val="none" w:sz="0" w:space="0" w:color="auto"/>
                                  </w:divBdr>
                                  <w:divsChild>
                                    <w:div w:id="1649480359">
                                      <w:marLeft w:val="0"/>
                                      <w:marRight w:val="0"/>
                                      <w:marTop w:val="0"/>
                                      <w:marBottom w:val="0"/>
                                      <w:divBdr>
                                        <w:top w:val="none" w:sz="0" w:space="0" w:color="auto"/>
                                        <w:left w:val="none" w:sz="0" w:space="0" w:color="auto"/>
                                        <w:bottom w:val="none" w:sz="0" w:space="0" w:color="auto"/>
                                        <w:right w:val="none" w:sz="0" w:space="0" w:color="auto"/>
                                      </w:divBdr>
                                      <w:divsChild>
                                        <w:div w:id="1198808810">
                                          <w:marLeft w:val="0"/>
                                          <w:marRight w:val="0"/>
                                          <w:marTop w:val="0"/>
                                          <w:marBottom w:val="0"/>
                                          <w:divBdr>
                                            <w:top w:val="none" w:sz="0" w:space="0" w:color="auto"/>
                                            <w:left w:val="none" w:sz="0" w:space="0" w:color="auto"/>
                                            <w:bottom w:val="none" w:sz="0" w:space="0" w:color="auto"/>
                                            <w:right w:val="none" w:sz="0" w:space="0" w:color="auto"/>
                                          </w:divBdr>
                                          <w:divsChild>
                                            <w:div w:id="1647313955">
                                              <w:marLeft w:val="0"/>
                                              <w:marRight w:val="0"/>
                                              <w:marTop w:val="90"/>
                                              <w:marBottom w:val="0"/>
                                              <w:divBdr>
                                                <w:top w:val="none" w:sz="0" w:space="0" w:color="auto"/>
                                                <w:left w:val="none" w:sz="0" w:space="0" w:color="auto"/>
                                                <w:bottom w:val="none" w:sz="0" w:space="0" w:color="auto"/>
                                                <w:right w:val="none" w:sz="0" w:space="0" w:color="auto"/>
                                              </w:divBdr>
                                              <w:divsChild>
                                                <w:div w:id="853959776">
                                                  <w:marLeft w:val="0"/>
                                                  <w:marRight w:val="0"/>
                                                  <w:marTop w:val="0"/>
                                                  <w:marBottom w:val="420"/>
                                                  <w:divBdr>
                                                    <w:top w:val="none" w:sz="0" w:space="0" w:color="auto"/>
                                                    <w:left w:val="none" w:sz="0" w:space="0" w:color="auto"/>
                                                    <w:bottom w:val="none" w:sz="0" w:space="0" w:color="auto"/>
                                                    <w:right w:val="none" w:sz="0" w:space="0" w:color="auto"/>
                                                  </w:divBdr>
                                                  <w:divsChild>
                                                    <w:div w:id="75978129">
                                                      <w:marLeft w:val="0"/>
                                                      <w:marRight w:val="0"/>
                                                      <w:marTop w:val="0"/>
                                                      <w:marBottom w:val="0"/>
                                                      <w:divBdr>
                                                        <w:top w:val="none" w:sz="0" w:space="0" w:color="auto"/>
                                                        <w:left w:val="none" w:sz="0" w:space="0" w:color="auto"/>
                                                        <w:bottom w:val="none" w:sz="0" w:space="0" w:color="auto"/>
                                                        <w:right w:val="none" w:sz="0" w:space="0" w:color="auto"/>
                                                      </w:divBdr>
                                                      <w:divsChild>
                                                        <w:div w:id="238947762">
                                                          <w:marLeft w:val="0"/>
                                                          <w:marRight w:val="0"/>
                                                          <w:marTop w:val="0"/>
                                                          <w:marBottom w:val="0"/>
                                                          <w:divBdr>
                                                            <w:top w:val="none" w:sz="0" w:space="0" w:color="auto"/>
                                                            <w:left w:val="none" w:sz="0" w:space="0" w:color="auto"/>
                                                            <w:bottom w:val="none" w:sz="0" w:space="0" w:color="auto"/>
                                                            <w:right w:val="none" w:sz="0" w:space="0" w:color="auto"/>
                                                          </w:divBdr>
                                                          <w:divsChild>
                                                            <w:div w:id="1352146349">
                                                              <w:marLeft w:val="0"/>
                                                              <w:marRight w:val="0"/>
                                                              <w:marTop w:val="0"/>
                                                              <w:marBottom w:val="0"/>
                                                              <w:divBdr>
                                                                <w:top w:val="none" w:sz="0" w:space="0" w:color="auto"/>
                                                                <w:left w:val="none" w:sz="0" w:space="0" w:color="auto"/>
                                                                <w:bottom w:val="none" w:sz="0" w:space="0" w:color="auto"/>
                                                                <w:right w:val="none" w:sz="0" w:space="0" w:color="auto"/>
                                                              </w:divBdr>
                                                              <w:divsChild>
                                                                <w:div w:id="682173598">
                                                                  <w:marLeft w:val="0"/>
                                                                  <w:marRight w:val="0"/>
                                                                  <w:marTop w:val="0"/>
                                                                  <w:marBottom w:val="0"/>
                                                                  <w:divBdr>
                                                                    <w:top w:val="none" w:sz="0" w:space="0" w:color="auto"/>
                                                                    <w:left w:val="none" w:sz="0" w:space="0" w:color="auto"/>
                                                                    <w:bottom w:val="none" w:sz="0" w:space="0" w:color="auto"/>
                                                                    <w:right w:val="none" w:sz="0" w:space="0" w:color="auto"/>
                                                                  </w:divBdr>
                                                                  <w:divsChild>
                                                                    <w:div w:id="1242981651">
                                                                      <w:marLeft w:val="0"/>
                                                                      <w:marRight w:val="0"/>
                                                                      <w:marTop w:val="0"/>
                                                                      <w:marBottom w:val="0"/>
                                                                      <w:divBdr>
                                                                        <w:top w:val="none" w:sz="0" w:space="0" w:color="auto"/>
                                                                        <w:left w:val="none" w:sz="0" w:space="0" w:color="auto"/>
                                                                        <w:bottom w:val="none" w:sz="0" w:space="0" w:color="auto"/>
                                                                        <w:right w:val="none" w:sz="0" w:space="0" w:color="auto"/>
                                                                      </w:divBdr>
                                                                      <w:divsChild>
                                                                        <w:div w:id="1769232128">
                                                                          <w:marLeft w:val="0"/>
                                                                          <w:marRight w:val="0"/>
                                                                          <w:marTop w:val="0"/>
                                                                          <w:marBottom w:val="0"/>
                                                                          <w:divBdr>
                                                                            <w:top w:val="none" w:sz="0" w:space="0" w:color="auto"/>
                                                                            <w:left w:val="none" w:sz="0" w:space="0" w:color="auto"/>
                                                                            <w:bottom w:val="none" w:sz="0" w:space="0" w:color="auto"/>
                                                                            <w:right w:val="none" w:sz="0" w:space="0" w:color="auto"/>
                                                                          </w:divBdr>
                                                                          <w:divsChild>
                                                                            <w:div w:id="1256207306">
                                                                              <w:marLeft w:val="0"/>
                                                                              <w:marRight w:val="0"/>
                                                                              <w:marTop w:val="0"/>
                                                                              <w:marBottom w:val="0"/>
                                                                              <w:divBdr>
                                                                                <w:top w:val="none" w:sz="0" w:space="0" w:color="auto"/>
                                                                                <w:left w:val="none" w:sz="0" w:space="0" w:color="auto"/>
                                                                                <w:bottom w:val="none" w:sz="0" w:space="0" w:color="auto"/>
                                                                                <w:right w:val="none" w:sz="0" w:space="0" w:color="auto"/>
                                                                              </w:divBdr>
                                                                              <w:divsChild>
                                                                                <w:div w:id="1264071098">
                                                                                  <w:marLeft w:val="0"/>
                                                                                  <w:marRight w:val="0"/>
                                                                                  <w:marTop w:val="0"/>
                                                                                  <w:marBottom w:val="0"/>
                                                                                  <w:divBdr>
                                                                                    <w:top w:val="none" w:sz="0" w:space="0" w:color="auto"/>
                                                                                    <w:left w:val="none" w:sz="0" w:space="0" w:color="auto"/>
                                                                                    <w:bottom w:val="none" w:sz="0" w:space="0" w:color="auto"/>
                                                                                    <w:right w:val="none" w:sz="0" w:space="0" w:color="auto"/>
                                                                                  </w:divBdr>
                                                                                  <w:divsChild>
                                                                                    <w:div w:id="84601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622675">
      <w:bodyDiv w:val="1"/>
      <w:marLeft w:val="0"/>
      <w:marRight w:val="0"/>
      <w:marTop w:val="0"/>
      <w:marBottom w:val="0"/>
      <w:divBdr>
        <w:top w:val="none" w:sz="0" w:space="0" w:color="auto"/>
        <w:left w:val="none" w:sz="0" w:space="0" w:color="auto"/>
        <w:bottom w:val="none" w:sz="0" w:space="0" w:color="auto"/>
        <w:right w:val="none" w:sz="0" w:space="0" w:color="auto"/>
      </w:divBdr>
    </w:div>
    <w:div w:id="199317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1faef44aeef5426f"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revisionView w:inkAnnotations="0"/>
  <w:defaultTabStop w:val="720"/>
  <w:characterSpacingControl w:val="doNotCompress"/>
  <w:compat>
    <w:useFELayout/>
    <w:compatSetting w:name="compatibilityMode" w:uri="http://schemas.microsoft.com/office/word" w:val="12"/>
  </w:compat>
  <w:rsids>
    <w:rsidRoot w:val="002B3265"/>
    <w:rsid w:val="002B3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4C32396F2B8A4CB71114E563F3C959" ma:contentTypeVersion="8" ma:contentTypeDescription="Create a new document." ma:contentTypeScope="" ma:versionID="0e2f42d56299af7e79c38f38cd2b0eed">
  <xsd:schema xmlns:xsd="http://www.w3.org/2001/XMLSchema" xmlns:xs="http://www.w3.org/2001/XMLSchema" xmlns:p="http://schemas.microsoft.com/office/2006/metadata/properties" xmlns:ns2="18301319-f19e-4b26-8552-fee59c7d9d25" targetNamespace="http://schemas.microsoft.com/office/2006/metadata/properties" ma:root="true" ma:fieldsID="f7e4cbb26a8e2c5dd5cf9d6d8e2f378c" ns2:_="">
    <xsd:import namespace="18301319-f19e-4b26-8552-fee59c7d9d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01319-f19e-4b26-8552-fee59c7d9d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B06AB-60ED-4E81-81F7-FF0303897D7C}">
  <ds:schemaRefs>
    <ds:schemaRef ds:uri="http://schemas.microsoft.com/sharepoint/v3/contenttype/forms"/>
  </ds:schemaRefs>
</ds:datastoreItem>
</file>

<file path=customXml/itemProps2.xml><?xml version="1.0" encoding="utf-8"?>
<ds:datastoreItem xmlns:ds="http://schemas.openxmlformats.org/officeDocument/2006/customXml" ds:itemID="{6FE7A3AB-EE4A-4962-B5B1-4F228AA85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01319-f19e-4b26-8552-fee59c7d9d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50675-0801-471C-88A1-911F540166F4}">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18301319-f19e-4b26-8552-fee59c7d9d25"/>
    <ds:schemaRef ds:uri="http://purl.org/dc/dcmitype/"/>
  </ds:schemaRefs>
</ds:datastoreItem>
</file>

<file path=customXml/itemProps4.xml><?xml version="1.0" encoding="utf-8"?>
<ds:datastoreItem xmlns:ds="http://schemas.openxmlformats.org/officeDocument/2006/customXml" ds:itemID="{02E0F748-E6A9-4088-864B-D8D7D8C0B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21004</Words>
  <Characters>119724</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
    </vt:vector>
  </TitlesOfParts>
  <Company>ExxonMobil</Company>
  <LinksUpToDate>false</LinksUpToDate>
  <CharactersWithSpaces>140448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 Colin M</dc:creator>
  <cp:keywords/>
  <dc:description/>
  <cp:lastModifiedBy>North, Colin M</cp:lastModifiedBy>
  <cp:revision>2</cp:revision>
  <dcterms:created xsi:type="dcterms:W3CDTF">2020-07-22T19:14:00Z</dcterms:created>
  <dcterms:modified xsi:type="dcterms:W3CDTF">2020-07-22T19:14:00Z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0x0101007B4C32396F2B8A4CB71114E563F3C959</vt:lpwstr>
  </property>
  <property fmtid="{D5CDD505-2E9C-101B-9397-08002B2CF9AE}" pid="3" name="Order">
    <vt:r8>21618600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SIP_Label_2b30ed1b-e95f-40b5-af89-828263f287a7_Enabled">
    <vt:lpwstr>True</vt:lpwstr>
  </property>
  <property fmtid="{D5CDD505-2E9C-101B-9397-08002B2CF9AE}" pid="9" name="MSIP_Label_2b30ed1b-e95f-40b5-af89-828263f287a7_SiteId">
    <vt:lpwstr>329e91b0-e21f-48fb-a071-456717ecc28e</vt:lpwstr>
  </property>
  <property fmtid="{D5CDD505-2E9C-101B-9397-08002B2CF9AE}" pid="10" name="MSIP_Label_2b30ed1b-e95f-40b5-af89-828263f287a7_Owner">
    <vt:lpwstr>neslihan.aygun.kocabas@total.com</vt:lpwstr>
  </property>
  <property fmtid="{D5CDD505-2E9C-101B-9397-08002B2CF9AE}" pid="11" name="MSIP_Label_2b30ed1b-e95f-40b5-af89-828263f287a7_SetDate">
    <vt:lpwstr>2020-04-28T13:50:22.9259294Z</vt:lpwstr>
  </property>
  <property fmtid="{D5CDD505-2E9C-101B-9397-08002B2CF9AE}" pid="12" name="MSIP_Label_2b30ed1b-e95f-40b5-af89-828263f287a7_Name">
    <vt:lpwstr>Restricted</vt:lpwstr>
  </property>
  <property fmtid="{D5CDD505-2E9C-101B-9397-08002B2CF9AE}" pid="13" name="MSIP_Label_2b30ed1b-e95f-40b5-af89-828263f287a7_Application">
    <vt:lpwstr>Microsoft Azure Information Protection</vt:lpwstr>
  </property>
  <property fmtid="{D5CDD505-2E9C-101B-9397-08002B2CF9AE}" pid="14" name="MSIP_Label_2b30ed1b-e95f-40b5-af89-828263f287a7_ActionId">
    <vt:lpwstr>f20589e3-539a-48a1-8c2b-76b1e1ca3f74</vt:lpwstr>
  </property>
  <property fmtid="{D5CDD505-2E9C-101B-9397-08002B2CF9AE}" pid="15" name="MSIP_Label_2b30ed1b-e95f-40b5-af89-828263f287a7_Extended_MSFT_Method">
    <vt:lpwstr>Automatic</vt:lpwstr>
  </property>
  <property fmtid="{D5CDD505-2E9C-101B-9397-08002B2CF9AE}" pid="16" name="Sensitivity">
    <vt:lpwstr>Restricted</vt:lpwstr>
  </property>
  <property fmtid="{D5CDD505-2E9C-101B-9397-08002B2CF9AE}" pid="17" name="_NewReviewCycle">
    <vt:lpwstr/>
  </property>
  <property fmtid="{D5CDD505-2E9C-101B-9397-08002B2CF9AE}" pid="18" name="_IQPDocumentId">
    <vt:lpwstr>8bf7823e-bf73-4aa2-888c-506ce77f33dd</vt:lpwstr>
  </property>
  <property fmtid="{D5CDD505-2E9C-101B-9397-08002B2CF9AE}" pid="19" name="Content_Steward">
    <vt:lpwstr>Mani B u399103</vt:lpwstr>
  </property>
  <property fmtid="{D5CDD505-2E9C-101B-9397-08002B2CF9AE}" pid="20" name="Update_Footer">
    <vt:lpwstr>No</vt:lpwstr>
  </property>
  <property fmtid="{D5CDD505-2E9C-101B-9397-08002B2CF9AE}" pid="21" name="Radio_Button">
    <vt:lpwstr>NONE</vt:lpwstr>
  </property>
  <property fmtid="{D5CDD505-2E9C-101B-9397-08002B2CF9AE}" pid="22" name="Information_Classification">
    <vt:lpwstr>DOW CONFIDENTIAL - Do not share without permission</vt:lpwstr>
  </property>
  <property fmtid="{D5CDD505-2E9C-101B-9397-08002B2CF9AE}" pid="23" name="Record_Title_ID">
    <vt:lpwstr>72</vt:lpwstr>
  </property>
  <property fmtid="{D5CDD505-2E9C-101B-9397-08002B2CF9AE}" pid="24" name="Initial_Creation_Date">
    <vt:filetime>2020-04-22T20:02:58Z</vt:filetime>
  </property>
  <property fmtid="{D5CDD505-2E9C-101B-9397-08002B2CF9AE}" pid="25" name="Retention_Period_Start_Date">
    <vt:filetime>2020-05-04T04:18:55Z</vt:filetime>
  </property>
  <property fmtid="{D5CDD505-2E9C-101B-9397-08002B2CF9AE}" pid="26" name="Last_Reviewed_Date">
    <vt:lpwstr/>
  </property>
  <property fmtid="{D5CDD505-2E9C-101B-9397-08002B2CF9AE}" pid="27" name="Retention_Review_Frequency">
    <vt:lpwstr/>
  </property>
  <property fmtid="{D5CDD505-2E9C-101B-9397-08002B2CF9AE}" pid="28" name="_AdHocReviewCycleID">
    <vt:i4>-1108078947</vt:i4>
  </property>
  <property fmtid="{D5CDD505-2E9C-101B-9397-08002B2CF9AE}" pid="29" name="_EmailSubject">
    <vt:lpwstr>Pre-RTI Review for "Key Event-Informed Risk Models for Benzene-induced Acute Myeloid Leukemia"</vt:lpwstr>
  </property>
  <property fmtid="{D5CDD505-2E9C-101B-9397-08002B2CF9AE}" pid="30" name="_AuthorEmail">
    <vt:lpwstr>christine.palermo@exxonmobil.com</vt:lpwstr>
  </property>
  <property fmtid="{D5CDD505-2E9C-101B-9397-08002B2CF9AE}" pid="31" name="_AuthorEmailDisplayName">
    <vt:lpwstr>Palermo, Christine</vt:lpwstr>
  </property>
  <property fmtid="{D5CDD505-2E9C-101B-9397-08002B2CF9AE}" pid="32" name="_PreviousAdHocReviewCycleID">
    <vt:i4>-1974781654</vt:i4>
  </property>
  <property fmtid="{D5CDD505-2E9C-101B-9397-08002B2CF9AE}" pid="33" name="_ReviewingToolsShownOnce">
    <vt:lpwstr/>
  </property>
</Properties>
</file>